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22E6" w14:textId="77777777" w:rsidR="00C533ED" w:rsidRDefault="00087B50">
      <w:pPr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</w:pPr>
      <w:r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  <w:pict w14:anchorId="2D3E7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  <w:object w:dxaOrig="1440" w:dyaOrig="1440" w14:anchorId="50CA4FF8">
          <v:shape id="_x0000_i0" o:spid="_x0000_s1026" type="#_x0000_t75" style="position:absolute;margin-left:0;margin-top:-31.2pt;width:261.75pt;height:165pt;z-index:-251657728;mso-wrap-distance-left:9pt;mso-wrap-distance-top:0;mso-wrap-distance-right:9pt;mso-wrap-distance-bottom:0;mso-position-horizontal:absolute;mso-position-horizontal-relative:text;mso-position-vertical:absolute;mso-position-vertical-relative:text;o:allowoverlap:true; o:allowincell:true">
            <v:imagedata r:id="rId7" o:title=""/>
            <v:path textboxrect="0,0,0,0"/>
          </v:shape>
          <o:OLEObject Type="Embed" ProgID="Acrobat.Document.DC" ShapeID="_x0000_i0" DrawAspect="Content" ObjectID="_1821252291" r:id="rId8"/>
        </w:object>
      </w:r>
    </w:p>
    <w:p w14:paraId="48B7B9EE" w14:textId="77777777" w:rsidR="00C533ED" w:rsidRDefault="00C533ED">
      <w:pPr>
        <w:spacing w:after="144" w:line="270" w:lineRule="atLeast"/>
        <w:jc w:val="both"/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</w:pPr>
    </w:p>
    <w:p w14:paraId="4B64BA46" w14:textId="77777777" w:rsidR="00C533ED" w:rsidRDefault="00C533ED">
      <w:pPr>
        <w:spacing w:after="144" w:line="270" w:lineRule="atLeast"/>
        <w:jc w:val="both"/>
        <w:rPr>
          <w:rFonts w:ascii="Segoe UI" w:hAnsi="Segoe UI" w:cs="Segoe UI"/>
          <w:b/>
          <w:color w:val="000000" w:themeColor="text1"/>
          <w:sz w:val="36"/>
          <w:szCs w:val="36"/>
          <w:highlight w:val="white"/>
        </w:rPr>
      </w:pPr>
    </w:p>
    <w:p w14:paraId="724AEEF6" w14:textId="77777777" w:rsidR="00C533ED" w:rsidRDefault="00C533ED">
      <w:pPr>
        <w:spacing w:after="144" w:line="270" w:lineRule="atLeast"/>
        <w:jc w:val="both"/>
        <w:rPr>
          <w:rFonts w:ascii="Segoe UI" w:hAnsi="Segoe UI" w:cs="Segoe UI"/>
          <w:b/>
          <w:bCs/>
          <w:color w:val="000000" w:themeColor="text1"/>
          <w:sz w:val="32"/>
          <w:szCs w:val="32"/>
          <w:highlight w:val="white"/>
        </w:rPr>
      </w:pPr>
    </w:p>
    <w:p w14:paraId="3FBE43E9" w14:textId="77777777" w:rsidR="00C533ED" w:rsidRDefault="004D543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7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Segoe UI" w:hAnsi="Segoe UI" w:cs="Segoe UI"/>
          <w:b/>
          <w:bCs/>
          <w:color w:val="000000" w:themeColor="text1"/>
          <w:sz w:val="28"/>
          <w:szCs w:val="28"/>
          <w:lang w:eastAsia="ru-RU"/>
        </w:rPr>
        <w:t>Более тысячи земельных участков выявлено в Новгородской области для жилой застройки с 2021 года</w:t>
      </w:r>
    </w:p>
    <w:p w14:paraId="014014E5" w14:textId="77777777" w:rsidR="00C533ED" w:rsidRDefault="004D5437">
      <w:pPr>
        <w:jc w:val="both"/>
        <w:rPr>
          <w:rFonts w:ascii="Segoe UI" w:hAnsi="Segoe UI" w:cs="Segoe UI"/>
          <w:b/>
          <w:color w:val="000000" w:themeColor="text1"/>
          <w:highlight w:val="white"/>
        </w:rPr>
      </w:pPr>
      <w:r>
        <w:rPr>
          <w:rFonts w:ascii="Segoe UI" w:hAnsi="Segoe UI" w:cs="Segoe UI"/>
          <w:b/>
          <w:noProof/>
          <w:color w:val="000000" w:themeColor="text1"/>
          <w:highlight w:val="white"/>
          <w:lang w:eastAsia="ru-RU" w:bidi="ar-SA"/>
        </w:rPr>
        <mc:AlternateContent>
          <mc:Choice Requires="wps">
            <w:drawing>
              <wp:anchor distT="0" distB="4294967291" distL="114300" distR="114300" simplePos="0" relativeHeight="251656704" behindDoc="0" locked="0" layoutInCell="1" allowOverlap="1" wp14:anchorId="7C6AC1F2" wp14:editId="269F4D7D">
                <wp:simplePos x="0" y="0"/>
                <wp:positionH relativeFrom="column">
                  <wp:posOffset>-75565</wp:posOffset>
                </wp:positionH>
                <wp:positionV relativeFrom="paragraph">
                  <wp:posOffset>48894</wp:posOffset>
                </wp:positionV>
                <wp:extent cx="6000750" cy="0"/>
                <wp:effectExtent l="0" t="0" r="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DB7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5.95pt;margin-top:3.85pt;width:472.5pt;height:0;z-index:251656704;visibility:visible;mso-wrap-style:square;mso-width-percent:0;mso-height-percent:0;mso-wrap-distance-left:9pt;mso-wrap-distance-top:0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" strokecolor="#0070c0" strokeweight="1.25pt"/>
            </w:pict>
          </mc:Fallback>
        </mc:AlternateContent>
      </w:r>
    </w:p>
    <w:p w14:paraId="126E411A" w14:textId="77777777" w:rsidR="00C533ED" w:rsidRDefault="004D5437">
      <w:pPr>
        <w:spacing w:after="113"/>
        <w:ind w:firstLine="708"/>
        <w:jc w:val="both"/>
      </w:pPr>
      <w:r>
        <w:rPr>
          <w:rFonts w:eastAsia="Times New Roman" w:cs="Times New Roman"/>
          <w:i/>
          <w:iCs/>
          <w:sz w:val="32"/>
          <w:szCs w:val="32"/>
          <w:lang w:eastAsia="ru-RU" w:bidi="ar-SA"/>
        </w:rPr>
        <w:t>Управление Росреестра по Новгородской области подвело промежуточные итоги проекта «Земля для стройки». На октябрь 2025 года в регионе нашли 1045 подходящих участков. Из них почти 200 уже вовлечены в экономический оборот.</w:t>
      </w:r>
    </w:p>
    <w:p w14:paraId="2AC446DC" w14:textId="77777777" w:rsidR="00C533ED" w:rsidRDefault="004D5437">
      <w:pPr>
        <w:spacing w:after="113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 w:bidi="ar-SA"/>
        </w:rPr>
        <w:t>Проект «Земля для стройки» реализуется в области с 2021 года. Его цель – находить территории, пригодные для строительства жилья.</w:t>
      </w:r>
    </w:p>
    <w:p w14:paraId="46DF1EAE" w14:textId="77777777" w:rsidR="00C533ED" w:rsidRDefault="004D5437">
      <w:pPr>
        <w:spacing w:after="113"/>
        <w:ind w:firstLine="708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За все время реализации проекта в регионе выявили 1045 участков и территорий общей площадью 1027 гектаров. Из них 193 участка уже используются для жилищного строительства.</w:t>
      </w:r>
    </w:p>
    <w:p w14:paraId="78A8D69B" w14:textId="77777777" w:rsidR="00C533ED" w:rsidRDefault="004D5437">
      <w:pPr>
        <w:spacing w:after="113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eastAsia="ru-RU" w:bidi="ar-SA"/>
        </w:rPr>
        <w:t>Информацию о всех найденных участках Управление публикует на портале Росреестра НСПД (https://nspd.gov.ru). На сегодняшний день на НСПД размещено информация о 850 объектах недвижимости. Чтобы посмотреть доступные варианты, нужно зайти на сайт и открыть Публичную кадастровую карту. В меню слева, во вкладке «Земельные участки», следует включить слой «Земля для стройки ППК». Там же, на портале НСПД, с помощью сервиса «Земля для стройки» можно выбрать участок на карте или из списка, узнать о нём все необходимые сведения и при необходимости даже изменить его конфигурацию.</w:t>
      </w:r>
    </w:p>
    <w:p w14:paraId="6BE437D3" w14:textId="40F6F750" w:rsidR="00C533ED" w:rsidRDefault="004D5437" w:rsidP="004D5437">
      <w:pPr>
        <w:spacing w:after="113"/>
        <w:ind w:firstLine="708"/>
        <w:jc w:val="both"/>
        <w:rPr>
          <w:rFonts w:cs="Times New Roman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  <w:lang w:eastAsia="ru-RU" w:bidi="ar-SA"/>
        </w:rPr>
        <w:t>«</w:t>
      </w:r>
      <w:r>
        <w:rPr>
          <w:rFonts w:cs="Times New Roman"/>
          <w:i/>
          <w:iCs/>
          <w:sz w:val="28"/>
          <w:szCs w:val="28"/>
          <w:lang w:eastAsia="ru-RU" w:bidi="ar-SA"/>
        </w:rPr>
        <w:t>Сервис «Земля для стройки» помогает гражданам и застройщикам подбирать участки для индивидуального жилищного строительства и возведения многоквартирных домов. Один из успешных примеров – освоение земли в деревне Григорово, где планируют построить Юго-Западный микрорайон за рекой Веряжа. В июне на онлайн-картах даже появилась первая улица микрорайона, которая гордо носит имя знаменитого советского барда и артиста Владимира Высоцкого</w:t>
      </w:r>
      <w:r>
        <w:rPr>
          <w:rFonts w:cs="Times New Roman"/>
          <w:sz w:val="28"/>
          <w:szCs w:val="28"/>
          <w:lang w:eastAsia="ru-RU" w:bidi="ar-SA"/>
        </w:rPr>
        <w:t>», – рассказывает руководитель Управления Росреестра по Новгородской области Светлана Луговцова.</w:t>
      </w:r>
    </w:p>
    <w:p w14:paraId="5D7A8889" w14:textId="0BE59566" w:rsidR="00087B50" w:rsidRDefault="00087B50" w:rsidP="00087B50">
      <w:pPr>
        <w:spacing w:after="113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5DF03429" wp14:editId="2A7CF1E4">
            <wp:extent cx="6197600" cy="621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1990" w14:textId="68A3C5E1" w:rsidR="00087B50" w:rsidRPr="004D5437" w:rsidRDefault="00087B50" w:rsidP="00087B50">
      <w:pPr>
        <w:spacing w:after="11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 1. Статистика</w:t>
      </w:r>
    </w:p>
    <w:sectPr w:rsidR="00087B50" w:rsidRPr="004D5437">
      <w:footerReference w:type="default" r:id="rId10"/>
      <w:pgSz w:w="11906" w:h="16838"/>
      <w:pgMar w:top="851" w:right="707" w:bottom="113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75AAA" w14:textId="77777777" w:rsidR="00C533ED" w:rsidRDefault="004D5437">
      <w:r>
        <w:separator/>
      </w:r>
    </w:p>
  </w:endnote>
  <w:endnote w:type="continuationSeparator" w:id="0">
    <w:p w14:paraId="78762999" w14:textId="77777777" w:rsidR="00C533ED" w:rsidRDefault="004D5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077EC" w14:textId="77777777" w:rsidR="00C533ED" w:rsidRDefault="00C533ED">
    <w:pPr>
      <w:pStyle w:val="af3"/>
      <w:jc w:val="center"/>
    </w:pPr>
  </w:p>
  <w:p w14:paraId="70F56B27" w14:textId="77777777" w:rsidR="00C533ED" w:rsidRDefault="00C533E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C6F87" w14:textId="77777777" w:rsidR="00C533ED" w:rsidRDefault="004D5437">
      <w:r>
        <w:separator/>
      </w:r>
    </w:p>
  </w:footnote>
  <w:footnote w:type="continuationSeparator" w:id="0">
    <w:p w14:paraId="1D0FE5F4" w14:textId="77777777" w:rsidR="00C533ED" w:rsidRDefault="004D5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3ED"/>
    <w:rsid w:val="00087B50"/>
    <w:rsid w:val="004D5437"/>
    <w:rsid w:val="00C53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986BC8"/>
  <w15:docId w15:val="{8919D1EF-244A-4310-B964-ED8F290E3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eastAsia="hi-IN" w:bidi="hi-IN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eastAsia="Times New Roman" w:cs="Times New Roman"/>
      <w:b/>
      <w:bCs/>
      <w:sz w:val="48"/>
      <w:szCs w:val="48"/>
      <w:lang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footer"/>
    <w:basedOn w:val="a"/>
    <w:link w:val="af4"/>
    <w:uiPriority w:val="99"/>
    <w:unhideWhenUsed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Arial Unicode MS" w:hAnsi="Times New Roman" w:cs="Mangal"/>
      <w:sz w:val="24"/>
      <w:szCs w:val="21"/>
      <w:lang w:eastAsia="hi-IN" w:bidi="hi-IN"/>
    </w:rPr>
  </w:style>
  <w:style w:type="character" w:styleId="af5">
    <w:name w:val="Hyperlink"/>
    <w:uiPriority w:val="99"/>
    <w:rPr>
      <w:color w:val="0000FF"/>
      <w:u w:val="single"/>
    </w:rPr>
  </w:style>
  <w:style w:type="paragraph" w:styleId="af6">
    <w:name w:val="Normal (Web)"/>
    <w:basedOn w:val="a"/>
    <w:uiPriority w:val="99"/>
    <w:unhideWhenUsed/>
    <w:pPr>
      <w:widowControl/>
      <w:spacing w:after="96"/>
    </w:pPr>
    <w:rPr>
      <w:rFonts w:eastAsia="Times New Roman" w:cs="Times New Roman"/>
      <w:lang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Mangal"/>
      <w:sz w:val="16"/>
      <w:szCs w:val="14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eastAsia="Arial Unicode MS" w:hAnsi="Tahoma" w:cs="Mangal"/>
      <w:sz w:val="16"/>
      <w:szCs w:val="14"/>
      <w:lang w:eastAsia="hi-IN" w:bidi="hi-IN"/>
    </w:rPr>
  </w:style>
  <w:style w:type="character" w:styleId="af9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lang w:eastAsia="ru-RU" w:bidi="ar-SA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ConsPlusNormal">
    <w:name w:val="ConsPlusNormal"/>
    <w:link w:val="ConsPlusNormal0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link w:val="ConsPlusNormal"/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d">
    <w:name w:val="header"/>
    <w:basedOn w:val="a"/>
    <w:link w:val="afe"/>
    <w:uiPriority w:val="99"/>
    <w:semiHidden/>
    <w:unhideWhenUsed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e">
    <w:name w:val="Верхний колонтитул Знак"/>
    <w:basedOn w:val="a0"/>
    <w:link w:val="afd"/>
    <w:uiPriority w:val="99"/>
    <w:semiHidden/>
    <w:rPr>
      <w:rFonts w:ascii="Times New Roman" w:eastAsia="Arial Unicode MS" w:hAnsi="Times New Roman" w:cs="Mangal"/>
      <w:sz w:val="24"/>
      <w:szCs w:val="21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="Mangal"/>
      <w:b/>
      <w:bCs/>
      <w:color w:val="4F81BD" w:themeColor="accent1"/>
      <w:sz w:val="24"/>
      <w:szCs w:val="21"/>
      <w:lang w:eastAsia="hi-IN" w:bidi="hi-IN"/>
    </w:rPr>
  </w:style>
  <w:style w:type="table" w:styleId="af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="Mangal"/>
      <w:color w:val="365F91" w:themeColor="accent1" w:themeShade="BF"/>
      <w:sz w:val="26"/>
      <w:szCs w:val="23"/>
      <w:lang w:eastAsia="hi-IN" w:bidi="hi-IN"/>
    </w:rPr>
  </w:style>
  <w:style w:type="character" w:styleId="af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Pr>
      <w:rFonts w:cs="Mangal"/>
      <w:sz w:val="20"/>
      <w:szCs w:val="18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rFonts w:ascii="Times New Roman" w:eastAsia="Arial Unicode MS" w:hAnsi="Times New Roman" w:cs="Mangal"/>
      <w:sz w:val="20"/>
      <w:szCs w:val="18"/>
      <w:lang w:eastAsia="hi-IN" w:bidi="hi-IN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Pr>
      <w:rFonts w:ascii="Times New Roman" w:eastAsia="Arial Unicode MS" w:hAnsi="Times New Roman" w:cs="Mangal"/>
      <w:b/>
      <w:bCs/>
      <w:sz w:val="20"/>
      <w:szCs w:val="18"/>
      <w:lang w:eastAsia="hi-IN" w:bidi="hi-IN"/>
    </w:rPr>
  </w:style>
  <w:style w:type="paragraph" w:styleId="aff5">
    <w:name w:val="Revision"/>
    <w:hidden/>
    <w:uiPriority w:val="99"/>
    <w:semiHidden/>
    <w:pPr>
      <w:spacing w:after="0" w:line="240" w:lineRule="auto"/>
    </w:pPr>
    <w:rPr>
      <w:rFonts w:ascii="Times New Roman" w:eastAsia="Arial Unicode MS" w:hAnsi="Times New Roman" w:cs="Mangal"/>
      <w:sz w:val="24"/>
      <w:szCs w:val="21"/>
      <w:lang w:eastAsia="hi-IN" w:bidi="hi-IN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">
    <w:name w:val="tex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52D89-FB75-4111-8761-01B737BB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1492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Ксенофонтова Светлана Николаевна</dc:creator>
  <cp:lastModifiedBy>Колосова Наталья Владимировна</cp:lastModifiedBy>
  <cp:revision>47</cp:revision>
  <dcterms:created xsi:type="dcterms:W3CDTF">2025-05-12T12:32:00Z</dcterms:created>
  <dcterms:modified xsi:type="dcterms:W3CDTF">2025-10-06T07:38:00Z</dcterms:modified>
</cp:coreProperties>
</file>