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5A52F9" w14:textId="77777777" w:rsidR="00C667E9" w:rsidRDefault="00C667E9" w:rsidP="00C667E9">
      <w:pPr>
        <w:rPr>
          <w:color w:val="1F497D"/>
        </w:rPr>
      </w:pPr>
      <w:bookmarkStart w:id="0" w:name="_Hlk219109036"/>
    </w:p>
    <w:tbl>
      <w:tblPr>
        <w:tblW w:w="9571" w:type="dxa"/>
        <w:tblLook w:val="04A0" w:firstRow="1" w:lastRow="0" w:firstColumn="1" w:lastColumn="0" w:noHBand="0" w:noVBand="1"/>
      </w:tblPr>
      <w:tblGrid>
        <w:gridCol w:w="7054"/>
        <w:gridCol w:w="2517"/>
      </w:tblGrid>
      <w:tr w:rsidR="00C667E9" w:rsidRPr="00A150B1" w14:paraId="288BD22F" w14:textId="77777777" w:rsidTr="00BE1D38">
        <w:trPr>
          <w:trHeight w:val="1719"/>
        </w:trPr>
        <w:tc>
          <w:tcPr>
            <w:tcW w:w="7054" w:type="dxa"/>
            <w:shd w:val="clear" w:color="auto" w:fill="auto"/>
          </w:tcPr>
          <w:p w14:paraId="1C2DF6D9" w14:textId="77777777" w:rsidR="00C667E9" w:rsidRDefault="00C667E9" w:rsidP="00BE1D38">
            <w:pPr>
              <w:jc w:val="both"/>
              <w:rPr>
                <w:rFonts w:ascii="Arial" w:eastAsia="Arial Unicode MS" w:hAnsi="Arial" w:cs="Arial Unicode MS"/>
                <w:b/>
                <w:bCs/>
                <w:color w:val="0000E6"/>
                <w:sz w:val="24"/>
                <w:szCs w:val="24"/>
                <w:u w:color="0B308C"/>
                <w:bdr w:val="nil"/>
                <w:lang w:eastAsia="ru-RU"/>
              </w:rPr>
            </w:pPr>
          </w:p>
          <w:p w14:paraId="2A6394E3" w14:textId="77777777" w:rsidR="00C667E9" w:rsidRDefault="00C667E9" w:rsidP="00BE1D38">
            <w:pPr>
              <w:jc w:val="both"/>
              <w:rPr>
                <w:rFonts w:ascii="Arial" w:eastAsia="Arial Unicode MS" w:hAnsi="Arial" w:cs="Arial Unicode MS"/>
                <w:b/>
                <w:bCs/>
                <w:color w:val="0000E6"/>
                <w:sz w:val="24"/>
                <w:szCs w:val="24"/>
                <w:u w:color="0B308C"/>
                <w:bdr w:val="nil"/>
                <w:lang w:eastAsia="ru-RU"/>
              </w:rPr>
            </w:pPr>
          </w:p>
          <w:p w14:paraId="495388D4" w14:textId="77777777" w:rsidR="00C667E9" w:rsidRPr="006C6318" w:rsidRDefault="00C667E9" w:rsidP="00BE1D38">
            <w:pPr>
              <w:jc w:val="both"/>
              <w:rPr>
                <w:rFonts w:ascii="Arial" w:eastAsia="Arial Unicode MS" w:hAnsi="Arial" w:cs="Arial Unicode MS"/>
                <w:b/>
                <w:bCs/>
                <w:color w:val="0000E6"/>
                <w:sz w:val="24"/>
                <w:szCs w:val="24"/>
                <w:u w:color="0B308C"/>
                <w:bdr w:val="nil"/>
                <w:lang w:eastAsia="ru-RU"/>
              </w:rPr>
            </w:pPr>
            <w:r>
              <w:rPr>
                <w:rFonts w:ascii="Arial" w:eastAsia="Arial Unicode MS" w:hAnsi="Arial" w:cs="Arial Unicode MS"/>
                <w:b/>
                <w:bCs/>
                <w:color w:val="0000E6"/>
                <w:sz w:val="24"/>
                <w:szCs w:val="24"/>
                <w:u w:color="0B308C"/>
                <w:bdr w:val="nil"/>
                <w:lang w:eastAsia="ru-RU"/>
              </w:rPr>
              <w:t xml:space="preserve">ПРЕСС-РЕЛИЗ                                                                        </w:t>
            </w:r>
          </w:p>
          <w:p w14:paraId="24B507FB" w14:textId="3FC88AA8" w:rsidR="00C667E9" w:rsidRPr="00FB0193" w:rsidRDefault="009A3BB1" w:rsidP="00BE1D38">
            <w:pPr>
              <w:jc w:val="both"/>
              <w:rPr>
                <w:rFonts w:ascii="Arial" w:eastAsia="Arial Unicode MS" w:hAnsi="Arial" w:cs="Arial Unicode MS"/>
                <w:color w:val="0000E6"/>
                <w:sz w:val="24"/>
                <w:szCs w:val="24"/>
                <w:u w:color="0B308C"/>
                <w:bdr w:val="nil"/>
                <w:lang w:eastAsia="ru-RU"/>
              </w:rPr>
            </w:pPr>
            <w:r>
              <w:rPr>
                <w:rFonts w:ascii="Arial" w:eastAsia="Arial Unicode MS" w:hAnsi="Arial" w:cs="Arial Unicode MS"/>
                <w:color w:val="0000E6"/>
                <w:sz w:val="24"/>
                <w:szCs w:val="24"/>
                <w:u w:color="0B308C"/>
                <w:bdr w:val="nil"/>
                <w:lang w:eastAsia="ru-RU"/>
              </w:rPr>
              <w:t>26</w:t>
            </w:r>
            <w:bookmarkStart w:id="1" w:name="_GoBack"/>
            <w:bookmarkEnd w:id="1"/>
            <w:r w:rsidR="00346694">
              <w:rPr>
                <w:rFonts w:ascii="Arial" w:eastAsia="Arial Unicode MS" w:hAnsi="Arial" w:cs="Arial Unicode MS"/>
                <w:color w:val="0000E6"/>
                <w:sz w:val="24"/>
                <w:szCs w:val="24"/>
                <w:u w:color="0B308C"/>
                <w:bdr w:val="nil"/>
                <w:lang w:eastAsia="ru-RU"/>
              </w:rPr>
              <w:t xml:space="preserve"> мая</w:t>
            </w:r>
            <w:r w:rsidR="00C667E9" w:rsidRPr="006C6318">
              <w:rPr>
                <w:rFonts w:ascii="Arial" w:eastAsia="Arial Unicode MS" w:hAnsi="Arial" w:cs="Arial Unicode MS"/>
                <w:color w:val="0000E6"/>
                <w:sz w:val="24"/>
                <w:szCs w:val="24"/>
                <w:u w:color="0B308C"/>
                <w:bdr w:val="nil"/>
                <w:lang w:eastAsia="ru-RU"/>
              </w:rPr>
              <w:t xml:space="preserve"> 202</w:t>
            </w:r>
            <w:r w:rsidR="00C667E9">
              <w:rPr>
                <w:rFonts w:ascii="Arial" w:eastAsia="Arial Unicode MS" w:hAnsi="Arial" w:cs="Arial Unicode MS"/>
                <w:color w:val="0000E6"/>
                <w:sz w:val="24"/>
                <w:szCs w:val="24"/>
                <w:u w:color="0B308C"/>
                <w:bdr w:val="nil"/>
                <w:lang w:eastAsia="ru-RU"/>
              </w:rPr>
              <w:t>6</w:t>
            </w:r>
            <w:r w:rsidR="00C667E9" w:rsidRPr="006C6318">
              <w:rPr>
                <w:rFonts w:ascii="Arial" w:eastAsia="Arial Unicode MS" w:hAnsi="Arial" w:cs="Arial Unicode MS"/>
                <w:color w:val="0000E6"/>
                <w:sz w:val="24"/>
                <w:szCs w:val="24"/>
                <w:u w:color="0B308C"/>
                <w:bdr w:val="nil"/>
                <w:lang w:eastAsia="ru-RU"/>
              </w:rPr>
              <w:t xml:space="preserve"> </w:t>
            </w:r>
            <w:r w:rsidR="00C667E9" w:rsidRPr="006C6318">
              <w:rPr>
                <w:rFonts w:ascii="Arial" w:eastAsia="Arial Unicode MS" w:hAnsi="Arial" w:cs="Arial Unicode MS"/>
                <w:noProof/>
                <w:color w:val="0000E6"/>
                <w:sz w:val="24"/>
                <w:szCs w:val="24"/>
                <w:u w:color="0B308C"/>
                <w:bdr w:val="nil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1ED0915" wp14:editId="1D822A78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251460</wp:posOffset>
                      </wp:positionV>
                      <wp:extent cx="4506595" cy="0"/>
                      <wp:effectExtent l="0" t="0" r="0" b="0"/>
                      <wp:wrapNone/>
                      <wp:docPr id="3" name="Прямая соединительная линия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506595" cy="0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rgbClr val="0000E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blurRad="40000" dist="20000" dir="5400000" rotWithShape="0">
                                        <a:srgbClr val="808080">
                                          <a:alpha val="37999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line w14:anchorId="507FC8E5" id="Прямая соединительная линия 3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19.8pt" to="354.7pt,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" strokecolor="#0000e6" strokeweight="2pt">
                      <v:shadow opacity="24903f" origin=",.5" offset="0,.55556mm"/>
                    </v:line>
                  </w:pict>
                </mc:Fallback>
              </mc:AlternateContent>
            </w:r>
            <w:r w:rsidR="00C667E9">
              <w:rPr>
                <w:rFonts w:ascii="Arial" w:eastAsia="Arial Unicode MS" w:hAnsi="Arial" w:cs="Arial Unicode MS"/>
                <w:color w:val="0000E6"/>
                <w:sz w:val="24"/>
                <w:szCs w:val="24"/>
                <w:u w:color="0B308C"/>
                <w:bdr w:val="nil"/>
                <w:lang w:eastAsia="ru-RU"/>
              </w:rPr>
              <w:t xml:space="preserve"> </w:t>
            </w:r>
          </w:p>
        </w:tc>
        <w:tc>
          <w:tcPr>
            <w:tcW w:w="2517" w:type="dxa"/>
            <w:shd w:val="clear" w:color="auto" w:fill="auto"/>
          </w:tcPr>
          <w:p w14:paraId="4FFFEF4A" w14:textId="77777777" w:rsidR="00C667E9" w:rsidRPr="006C6318" w:rsidRDefault="00C667E9" w:rsidP="00BE1D38">
            <w:pPr>
              <w:spacing w:before="120" w:after="120" w:line="288" w:lineRule="auto"/>
              <w:jc w:val="both"/>
              <w:rPr>
                <w:rFonts w:ascii="Times New Roman" w:eastAsia="Times New Roman" w:hAnsi="Times New Roman" w:cs="Times New Roman"/>
                <w:b/>
                <w:color w:val="0918DD"/>
                <w:sz w:val="24"/>
                <w:szCs w:val="24"/>
              </w:rPr>
            </w:pPr>
            <w:r w:rsidRPr="006C6318">
              <w:rPr>
                <w:rFonts w:ascii="Times New Roman" w:eastAsia="Times New Roman" w:hAnsi="Times New Roman" w:cs="Times New Roman"/>
                <w:b/>
                <w:noProof/>
                <w:color w:val="0918DD"/>
                <w:sz w:val="24"/>
                <w:szCs w:val="24"/>
              </w:rPr>
              <w:t xml:space="preserve">              </w:t>
            </w:r>
            <w:r w:rsidRPr="006C6318">
              <w:rPr>
                <w:rFonts w:ascii="Times New Roman" w:eastAsia="Times New Roman" w:hAnsi="Times New Roman" w:cs="Times New Roman"/>
                <w:b/>
                <w:noProof/>
                <w:color w:val="0918DD"/>
                <w:sz w:val="24"/>
                <w:szCs w:val="24"/>
                <w:lang w:eastAsia="ru-RU"/>
              </w:rPr>
              <w:drawing>
                <wp:inline distT="0" distB="0" distL="0" distR="0" wp14:anchorId="25A40E25" wp14:editId="21BF5F09">
                  <wp:extent cx="901700" cy="9017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700" cy="901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70B28EC" w14:textId="50FF667C" w:rsidR="009B3D2A" w:rsidRPr="009B3D2A" w:rsidRDefault="009B3D2A" w:rsidP="009B3D2A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2" w:name="_Hlk230183569"/>
      <w:r w:rsidRPr="009B3D2A">
        <w:rPr>
          <w:rFonts w:ascii="Times New Roman" w:eastAsia="Calibri" w:hAnsi="Times New Roman" w:cs="Times New Roman"/>
          <w:b/>
          <w:sz w:val="24"/>
          <w:szCs w:val="24"/>
        </w:rPr>
        <w:t xml:space="preserve">Клиенты Почты в </w:t>
      </w:r>
      <w:r w:rsidR="00E15DDF">
        <w:rPr>
          <w:rFonts w:ascii="Times New Roman" w:eastAsia="Calibri" w:hAnsi="Times New Roman" w:cs="Times New Roman"/>
          <w:b/>
          <w:sz w:val="24"/>
          <w:szCs w:val="24"/>
        </w:rPr>
        <w:t>Новгородской области отправили более 132</w:t>
      </w:r>
      <w:r w:rsidRPr="009B3D2A">
        <w:rPr>
          <w:rFonts w:ascii="Times New Roman" w:eastAsia="Calibri" w:hAnsi="Times New Roman" w:cs="Times New Roman"/>
          <w:b/>
          <w:sz w:val="24"/>
          <w:szCs w:val="24"/>
        </w:rPr>
        <w:t xml:space="preserve"> 000 </w:t>
      </w:r>
      <w:r w:rsidR="001D72B1">
        <w:rPr>
          <w:rFonts w:ascii="Times New Roman" w:eastAsia="Calibri" w:hAnsi="Times New Roman" w:cs="Times New Roman"/>
          <w:b/>
          <w:sz w:val="24"/>
          <w:szCs w:val="24"/>
        </w:rPr>
        <w:t>писем</w:t>
      </w:r>
      <w:r w:rsidRPr="009B3D2A">
        <w:rPr>
          <w:rFonts w:ascii="Times New Roman" w:eastAsia="Calibri" w:hAnsi="Times New Roman" w:cs="Times New Roman"/>
          <w:b/>
          <w:sz w:val="24"/>
          <w:szCs w:val="24"/>
        </w:rPr>
        <w:t xml:space="preserve"> со знаком онлайн-оплаты</w:t>
      </w:r>
    </w:p>
    <w:bookmarkEnd w:id="2"/>
    <w:p w14:paraId="222DA307" w14:textId="2D0CAA97" w:rsidR="009B3D2A" w:rsidRPr="009B3D2A" w:rsidRDefault="009B3D2A" w:rsidP="009B3D2A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3D2A">
        <w:rPr>
          <w:rFonts w:ascii="Times New Roman" w:eastAsia="Calibri" w:hAnsi="Times New Roman" w:cs="Times New Roman"/>
          <w:sz w:val="24"/>
          <w:szCs w:val="24"/>
        </w:rPr>
        <w:t xml:space="preserve">С января по апрель 2026 г. </w:t>
      </w:r>
      <w:r>
        <w:rPr>
          <w:rFonts w:ascii="Times New Roman" w:eastAsia="Calibri" w:hAnsi="Times New Roman" w:cs="Times New Roman"/>
          <w:sz w:val="24"/>
          <w:szCs w:val="24"/>
        </w:rPr>
        <w:t xml:space="preserve">клиенты Почты России в </w:t>
      </w:r>
      <w:r w:rsidR="00E15DDF">
        <w:rPr>
          <w:rFonts w:ascii="Times New Roman" w:eastAsia="Calibri" w:hAnsi="Times New Roman" w:cs="Times New Roman"/>
          <w:sz w:val="24"/>
          <w:szCs w:val="24"/>
        </w:rPr>
        <w:t xml:space="preserve">Новгородской </w:t>
      </w:r>
      <w:r w:rsidR="00475400" w:rsidRPr="00475400">
        <w:rPr>
          <w:rFonts w:ascii="Times New Roman" w:eastAsia="Calibri" w:hAnsi="Times New Roman" w:cs="Times New Roman"/>
          <w:sz w:val="24"/>
          <w:szCs w:val="24"/>
        </w:rPr>
        <w:t xml:space="preserve">области </w:t>
      </w:r>
      <w:r w:rsidR="00E15DDF">
        <w:rPr>
          <w:rFonts w:ascii="Times New Roman" w:eastAsia="Calibri" w:hAnsi="Times New Roman" w:cs="Times New Roman"/>
          <w:sz w:val="24"/>
          <w:szCs w:val="24"/>
        </w:rPr>
        <w:t xml:space="preserve">отправили более 132 </w:t>
      </w:r>
      <w:r w:rsidRPr="009B3D2A">
        <w:rPr>
          <w:rFonts w:ascii="Times New Roman" w:eastAsia="Calibri" w:hAnsi="Times New Roman" w:cs="Times New Roman"/>
          <w:sz w:val="24"/>
          <w:szCs w:val="24"/>
        </w:rPr>
        <w:t xml:space="preserve">000 писем с помощью знаков онлайн-оплаты (ЗОО). </w:t>
      </w:r>
      <w:r w:rsidR="00E31A45">
        <w:rPr>
          <w:rFonts w:ascii="Times New Roman" w:eastAsia="Calibri" w:hAnsi="Times New Roman" w:cs="Times New Roman"/>
          <w:sz w:val="24"/>
          <w:szCs w:val="24"/>
        </w:rPr>
        <w:t>С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прошлого года</w:t>
      </w:r>
      <w:r w:rsidRPr="009B3D2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31A45">
        <w:rPr>
          <w:rFonts w:ascii="Times New Roman" w:eastAsia="Calibri" w:hAnsi="Times New Roman" w:cs="Times New Roman"/>
          <w:sz w:val="24"/>
          <w:szCs w:val="24"/>
        </w:rPr>
        <w:t xml:space="preserve">цифровой услугой </w:t>
      </w:r>
      <w:r w:rsidRPr="009B3D2A">
        <w:rPr>
          <w:rFonts w:ascii="Times New Roman" w:eastAsia="Calibri" w:hAnsi="Times New Roman" w:cs="Times New Roman"/>
          <w:sz w:val="24"/>
          <w:szCs w:val="24"/>
        </w:rPr>
        <w:t xml:space="preserve">могут </w:t>
      </w:r>
      <w:r w:rsidR="00E31A45">
        <w:rPr>
          <w:rFonts w:ascii="Times New Roman" w:eastAsia="Calibri" w:hAnsi="Times New Roman" w:cs="Times New Roman"/>
          <w:sz w:val="24"/>
          <w:szCs w:val="24"/>
        </w:rPr>
        <w:t xml:space="preserve">пользоваться </w:t>
      </w:r>
      <w:r>
        <w:rPr>
          <w:rFonts w:ascii="Times New Roman" w:eastAsia="Calibri" w:hAnsi="Times New Roman" w:cs="Times New Roman"/>
          <w:sz w:val="24"/>
          <w:szCs w:val="24"/>
        </w:rPr>
        <w:t xml:space="preserve">как </w:t>
      </w:r>
      <w:r w:rsidRPr="009B3D2A">
        <w:rPr>
          <w:rFonts w:ascii="Times New Roman" w:eastAsia="Calibri" w:hAnsi="Times New Roman" w:cs="Times New Roman"/>
          <w:sz w:val="24"/>
          <w:szCs w:val="24"/>
        </w:rPr>
        <w:t>организации</w:t>
      </w:r>
      <w:r>
        <w:rPr>
          <w:rFonts w:ascii="Times New Roman" w:eastAsia="Calibri" w:hAnsi="Times New Roman" w:cs="Times New Roman"/>
          <w:sz w:val="24"/>
          <w:szCs w:val="24"/>
        </w:rPr>
        <w:t>, так</w:t>
      </w:r>
      <w:r w:rsidRPr="009B3D2A">
        <w:rPr>
          <w:rFonts w:ascii="Times New Roman" w:eastAsia="Calibri" w:hAnsi="Times New Roman" w:cs="Times New Roman"/>
          <w:sz w:val="24"/>
          <w:szCs w:val="24"/>
        </w:rPr>
        <w:t xml:space="preserve"> и</w:t>
      </w:r>
      <w:r w:rsidR="00E31A45">
        <w:rPr>
          <w:rFonts w:ascii="Times New Roman" w:eastAsia="Calibri" w:hAnsi="Times New Roman" w:cs="Times New Roman"/>
          <w:sz w:val="24"/>
          <w:szCs w:val="24"/>
        </w:rPr>
        <w:t xml:space="preserve"> жители региона</w:t>
      </w:r>
      <w:r w:rsidRPr="009B3D2A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4BD40D59" w14:textId="77777777" w:rsidR="009B3D2A" w:rsidRPr="009B3D2A" w:rsidRDefault="009B3D2A" w:rsidP="009B3D2A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3D2A">
        <w:rPr>
          <w:rFonts w:ascii="Times New Roman" w:eastAsia="Calibri" w:hAnsi="Times New Roman" w:cs="Times New Roman"/>
          <w:sz w:val="24"/>
          <w:szCs w:val="24"/>
        </w:rPr>
        <w:t xml:space="preserve">Знак онлайн-оплаты представляет собой QR-код, который содержит всю важную информацию об отправлении: данные о месте сдачи отправления, дате, стоимости доставки, виде почтового отправления. Таким образом можно отправить простую и заказную корреспонденцию, а также бандероли. Все необходимые действия для подготовки к отправке писем отправитель производит самостоятельно в «Личном кабинете». Физические лица могут оплатить пересылку онлайн или банковской картой, </w:t>
      </w:r>
      <w:r>
        <w:rPr>
          <w:rFonts w:ascii="Times New Roman" w:eastAsia="Calibri" w:hAnsi="Times New Roman" w:cs="Times New Roman"/>
          <w:sz w:val="24"/>
          <w:szCs w:val="24"/>
        </w:rPr>
        <w:t xml:space="preserve">предварительно </w:t>
      </w:r>
      <w:r w:rsidRPr="009B3D2A">
        <w:rPr>
          <w:rFonts w:ascii="Times New Roman" w:eastAsia="Calibri" w:hAnsi="Times New Roman" w:cs="Times New Roman"/>
          <w:sz w:val="24"/>
          <w:szCs w:val="24"/>
        </w:rPr>
        <w:t>самостоятельно распечатать бланк и наклеить его на конверт при сдаче отправления в отделении.</w:t>
      </w:r>
    </w:p>
    <w:p w14:paraId="2110E5F4" w14:textId="77777777" w:rsidR="009B3D2A" w:rsidRPr="009B3D2A" w:rsidRDefault="009B3D2A" w:rsidP="009B3D2A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3D2A">
        <w:rPr>
          <w:rFonts w:ascii="Times New Roman" w:eastAsia="Calibri" w:hAnsi="Times New Roman" w:cs="Times New Roman"/>
          <w:sz w:val="24"/>
          <w:szCs w:val="24"/>
        </w:rPr>
        <w:t>Оплата почтовых отправлений знаками онлайн-оплаты существенно упрощает для отправителей процесс подготовки письма к отправке. Теперь организациям не требуется покупать и наклеивать марки или быть привязанными к обслуживанию в почтовых отделениях, где установлены франкировальные машины. Процесс приёмки почты в отделении также ускоряется — оператору связи достаточно сканером считать QR-код, чтобы получить всю необходимую информацию об отправлении и принять к отправке.</w:t>
      </w:r>
    </w:p>
    <w:p w14:paraId="20527438" w14:textId="77777777" w:rsidR="009B3D2A" w:rsidRPr="004203EF" w:rsidRDefault="009B3D2A" w:rsidP="009B3D2A">
      <w:pPr>
        <w:jc w:val="both"/>
        <w:rPr>
          <w:rFonts w:ascii="Times New Roman" w:hAnsi="Times New Roman" w:cs="Times New Roman"/>
          <w:sz w:val="24"/>
          <w:szCs w:val="24"/>
        </w:rPr>
      </w:pPr>
      <w:r w:rsidRPr="004203EF">
        <w:rPr>
          <w:rFonts w:ascii="Times New Roman" w:hAnsi="Times New Roman" w:cs="Times New Roman"/>
          <w:sz w:val="24"/>
          <w:szCs w:val="24"/>
        </w:rPr>
        <w:t>Получить более подробную информацию об онлайн-сервисах можно на сайте Почты России </w:t>
      </w:r>
      <w:hyperlink r:id="rId5" w:tgtFrame="_blank" w:history="1">
        <w:r w:rsidRPr="004203EF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www.pochta.ru</w:t>
        </w:r>
      </w:hyperlink>
      <w:r w:rsidRPr="004203EF">
        <w:rPr>
          <w:rFonts w:ascii="Times New Roman" w:hAnsi="Times New Roman" w:cs="Times New Roman"/>
          <w:sz w:val="24"/>
          <w:szCs w:val="24"/>
        </w:rPr>
        <w:t> и в мобильном приложении.</w:t>
      </w:r>
    </w:p>
    <w:p w14:paraId="16415320" w14:textId="77777777" w:rsidR="00EE4AFC" w:rsidRDefault="00EE4AFC" w:rsidP="003643B1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31EB0BD" w14:textId="77777777" w:rsidR="00C667E9" w:rsidRPr="008572C5" w:rsidRDefault="00C667E9" w:rsidP="00C667E9">
      <w:pPr>
        <w:jc w:val="both"/>
        <w:rPr>
          <w:rFonts w:ascii="Times New Roman" w:eastAsia="Times New Roman" w:hAnsi="Times New Roman" w:cs="Times New Roman"/>
          <w:b/>
          <w:i/>
          <w:kern w:val="2"/>
          <w:sz w:val="20"/>
          <w:szCs w:val="20"/>
          <w14:ligatures w14:val="standardContextual"/>
        </w:rPr>
      </w:pPr>
      <w:r w:rsidRPr="008572C5">
        <w:rPr>
          <w:rFonts w:ascii="Times New Roman" w:eastAsia="Times New Roman" w:hAnsi="Times New Roman" w:cs="Times New Roman"/>
          <w:b/>
          <w:i/>
          <w:kern w:val="2"/>
          <w:sz w:val="20"/>
          <w:szCs w:val="20"/>
          <w14:ligatures w14:val="standardContextual"/>
        </w:rPr>
        <w:t>Справочно:</w:t>
      </w:r>
    </w:p>
    <w:p w14:paraId="2B6F32C1" w14:textId="77777777" w:rsidR="00C667E9" w:rsidRPr="004871B2" w:rsidRDefault="00C667E9" w:rsidP="00C667E9">
      <w:pPr>
        <w:spacing w:before="120" w:after="120" w:line="288" w:lineRule="auto"/>
        <w:jc w:val="both"/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</w:pPr>
      <w:r w:rsidRPr="004871B2">
        <w:rPr>
          <w:rFonts w:ascii="Times New Roman" w:eastAsia="Calibri" w:hAnsi="Times New Roman" w:cs="Times New Roman"/>
          <w:b/>
          <w:bCs/>
          <w:i/>
          <w:iCs/>
          <w:color w:val="000000"/>
          <w:sz w:val="20"/>
          <w:szCs w:val="20"/>
        </w:rPr>
        <w:t>АО «Почта России»</w:t>
      </w:r>
      <w:r w:rsidRPr="004871B2"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  <w:t xml:space="preserve"> — крупнейший федеральный почтовый и логистический оператор страны, входит в перечень стратегических предприятий Российской Федерации. Седьмая крупнейшая компания в мире по количеству отделений обслуживания клиентов — свыше 38 000 точек, порядка 66% из которых находятся в малых населенных пунктах. Среднемесячная протяженность логистических маршрутов Почты составляет 64 млн километров. </w:t>
      </w:r>
    </w:p>
    <w:p w14:paraId="63FAE5C3" w14:textId="77777777" w:rsidR="00C667E9" w:rsidRPr="004871B2" w:rsidRDefault="00C667E9" w:rsidP="00C667E9">
      <w:pPr>
        <w:spacing w:before="120" w:after="120" w:line="288" w:lineRule="auto"/>
        <w:jc w:val="both"/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</w:pPr>
      <w:r w:rsidRPr="004871B2"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  <w:t>Ежегодно Почта России принимает около 2,3 млрд бумажных отправлений и обрабатывает около 200 млн посылок. Компания помогает переводить юридически значимую переписку в цифровой формат — в 202</w:t>
      </w:r>
      <w:r w:rsidR="00EA4CD6"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  <w:t>5</w:t>
      </w:r>
      <w:r w:rsidRPr="004871B2"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  <w:t xml:space="preserve"> г. Почта доставила более 300 млн писем в электронном и гибридном формате.</w:t>
      </w:r>
    </w:p>
    <w:p w14:paraId="2B4D46E7" w14:textId="77777777" w:rsidR="00C667E9" w:rsidRPr="004871B2" w:rsidRDefault="00C667E9" w:rsidP="00C667E9">
      <w:pPr>
        <w:spacing w:before="120" w:after="120" w:line="288" w:lineRule="auto"/>
        <w:jc w:val="both"/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</w:pPr>
      <w:r w:rsidRPr="004871B2"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  <w:t>С 2015 г. государство не предоставляет компании меры поддержки, позволяющие покрыть расходы на содержание сети объектов почтовой связи в соответствии с требованиями по размещению отделений и оказанию универсальных услуг связи.</w:t>
      </w:r>
    </w:p>
    <w:p w14:paraId="4EA5D652" w14:textId="77777777" w:rsidR="00C667E9" w:rsidRPr="004871B2" w:rsidRDefault="00C667E9" w:rsidP="00C667E9">
      <w:pPr>
        <w:spacing w:before="120" w:after="120" w:line="288" w:lineRule="auto"/>
        <w:jc w:val="both"/>
        <w:rPr>
          <w:rFonts w:ascii="Times New Roman" w:eastAsia="Calibri" w:hAnsi="Times New Roman" w:cs="Times New Roman"/>
          <w:i/>
          <w:iCs/>
          <w:color w:val="000000"/>
          <w:sz w:val="20"/>
          <w:szCs w:val="20"/>
          <w:shd w:val="clear" w:color="auto" w:fill="FFFFFF"/>
        </w:rPr>
      </w:pPr>
      <w:r w:rsidRPr="004871B2">
        <w:rPr>
          <w:rFonts w:ascii="Times New Roman" w:eastAsia="Calibri" w:hAnsi="Times New Roman" w:cs="Times New Roman"/>
          <w:i/>
          <w:iCs/>
          <w:color w:val="000000"/>
          <w:sz w:val="20"/>
          <w:szCs w:val="20"/>
          <w:shd w:val="clear" w:color="auto" w:fill="FFFFFF"/>
        </w:rPr>
        <w:t>Почтово-логистический оператор следит за сохранностью всех отправлений, включая онлайн-заказы. На октябрь 2025 г. этот показатель достигает 99,99%.</w:t>
      </w:r>
    </w:p>
    <w:p w14:paraId="4B1BEFCA" w14:textId="77777777" w:rsidR="00C667E9" w:rsidRDefault="00C667E9" w:rsidP="00C667E9">
      <w:pPr>
        <w:spacing w:line="288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bookmarkEnd w:id="0"/>
    <w:p w14:paraId="09CAF6B9" w14:textId="77777777" w:rsidR="0081781F" w:rsidRPr="0081781F" w:rsidRDefault="0081781F" w:rsidP="0081781F">
      <w:pPr>
        <w:spacing w:before="120" w:after="120" w:line="288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1781F">
        <w:rPr>
          <w:rFonts w:ascii="Times New Roman" w:hAnsi="Times New Roman" w:cs="Times New Roman"/>
          <w:b/>
          <w:bCs/>
          <w:sz w:val="20"/>
          <w:szCs w:val="20"/>
        </w:rPr>
        <w:t>Пресс-служба:</w:t>
      </w:r>
    </w:p>
    <w:p w14:paraId="4A67BE9E" w14:textId="77777777" w:rsidR="0081781F" w:rsidRPr="0081781F" w:rsidRDefault="0081781F" w:rsidP="0081781F">
      <w:pPr>
        <w:spacing w:line="288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81781F">
        <w:rPr>
          <w:rFonts w:ascii="Times New Roman" w:hAnsi="Times New Roman" w:cs="Times New Roman"/>
          <w:bCs/>
          <w:sz w:val="20"/>
          <w:szCs w:val="20"/>
        </w:rPr>
        <w:lastRenderedPageBreak/>
        <w:t>Светлана Сары</w:t>
      </w:r>
    </w:p>
    <w:p w14:paraId="0908A212" w14:textId="77777777" w:rsidR="0081781F" w:rsidRPr="0081781F" w:rsidRDefault="0081781F" w:rsidP="0081781F">
      <w:pPr>
        <w:spacing w:after="160" w:line="259" w:lineRule="auto"/>
        <w:rPr>
          <w:rFonts w:ascii="Times New Roman" w:hAnsi="Times New Roman" w:cs="Times New Roman"/>
          <w:sz w:val="20"/>
          <w:szCs w:val="20"/>
        </w:rPr>
      </w:pPr>
      <w:r w:rsidRPr="0081781F">
        <w:rPr>
          <w:rFonts w:ascii="Times New Roman" w:hAnsi="Times New Roman" w:cs="Times New Roman"/>
          <w:sz w:val="20"/>
          <w:szCs w:val="20"/>
        </w:rPr>
        <w:t xml:space="preserve"> +7 (8212) 24-00-22, доб. 2002</w:t>
      </w:r>
    </w:p>
    <w:p w14:paraId="2B3E4AE2" w14:textId="77777777" w:rsidR="0081781F" w:rsidRPr="0081781F" w:rsidRDefault="0081781F" w:rsidP="0081781F">
      <w:pPr>
        <w:spacing w:after="160" w:line="259" w:lineRule="auto"/>
        <w:rPr>
          <w:rFonts w:ascii="Times New Roman" w:hAnsi="Times New Roman" w:cs="Times New Roman"/>
          <w:sz w:val="20"/>
          <w:szCs w:val="20"/>
        </w:rPr>
      </w:pPr>
      <w:r w:rsidRPr="0081781F">
        <w:rPr>
          <w:rFonts w:ascii="Times New Roman" w:hAnsi="Times New Roman" w:cs="Times New Roman"/>
          <w:sz w:val="20"/>
          <w:szCs w:val="20"/>
        </w:rPr>
        <w:t>Svetlana.Sary@russianpost.ru</w:t>
      </w:r>
    </w:p>
    <w:p w14:paraId="0FCB7860" w14:textId="77777777" w:rsidR="0081781F" w:rsidRPr="0081781F" w:rsidRDefault="0081781F" w:rsidP="0081781F">
      <w:pPr>
        <w:spacing w:after="160" w:line="288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BD5BE2A" w14:textId="77777777" w:rsidR="00C667E9" w:rsidRPr="00BB7612" w:rsidRDefault="00C667E9" w:rsidP="00C667E9">
      <w:pPr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C667E9" w:rsidRPr="00BB76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1F3"/>
    <w:rsid w:val="00004FA9"/>
    <w:rsid w:val="000A3EA7"/>
    <w:rsid w:val="00144EC7"/>
    <w:rsid w:val="00166780"/>
    <w:rsid w:val="00184B4E"/>
    <w:rsid w:val="001D72B1"/>
    <w:rsid w:val="002504CF"/>
    <w:rsid w:val="00254824"/>
    <w:rsid w:val="0027667D"/>
    <w:rsid w:val="002B7F1E"/>
    <w:rsid w:val="002F5870"/>
    <w:rsid w:val="003429E3"/>
    <w:rsid w:val="00346694"/>
    <w:rsid w:val="003643B1"/>
    <w:rsid w:val="0038109A"/>
    <w:rsid w:val="003C0209"/>
    <w:rsid w:val="003E0AF0"/>
    <w:rsid w:val="00441ADE"/>
    <w:rsid w:val="00451E7E"/>
    <w:rsid w:val="004708AD"/>
    <w:rsid w:val="00475400"/>
    <w:rsid w:val="00477150"/>
    <w:rsid w:val="00495F74"/>
    <w:rsid w:val="00507D05"/>
    <w:rsid w:val="005275B8"/>
    <w:rsid w:val="005912B7"/>
    <w:rsid w:val="005E38B9"/>
    <w:rsid w:val="00672658"/>
    <w:rsid w:val="006E45E7"/>
    <w:rsid w:val="007660C9"/>
    <w:rsid w:val="00772382"/>
    <w:rsid w:val="0077346A"/>
    <w:rsid w:val="00780D00"/>
    <w:rsid w:val="007D71F3"/>
    <w:rsid w:val="007F4083"/>
    <w:rsid w:val="0081781F"/>
    <w:rsid w:val="00826717"/>
    <w:rsid w:val="00840F59"/>
    <w:rsid w:val="00843306"/>
    <w:rsid w:val="00884540"/>
    <w:rsid w:val="0092040F"/>
    <w:rsid w:val="00946949"/>
    <w:rsid w:val="009618EC"/>
    <w:rsid w:val="00965F89"/>
    <w:rsid w:val="009A0EDD"/>
    <w:rsid w:val="009A3BB1"/>
    <w:rsid w:val="009B3D2A"/>
    <w:rsid w:val="009E654A"/>
    <w:rsid w:val="00A00369"/>
    <w:rsid w:val="00A22C99"/>
    <w:rsid w:val="00A53B2B"/>
    <w:rsid w:val="00A8542C"/>
    <w:rsid w:val="00A97CBB"/>
    <w:rsid w:val="00AA308F"/>
    <w:rsid w:val="00AD732E"/>
    <w:rsid w:val="00B01A83"/>
    <w:rsid w:val="00B86543"/>
    <w:rsid w:val="00BB5BB2"/>
    <w:rsid w:val="00BC522E"/>
    <w:rsid w:val="00C667E9"/>
    <w:rsid w:val="00C950D5"/>
    <w:rsid w:val="00D16CAB"/>
    <w:rsid w:val="00DB17F9"/>
    <w:rsid w:val="00DC781F"/>
    <w:rsid w:val="00DF43A8"/>
    <w:rsid w:val="00DF79FE"/>
    <w:rsid w:val="00E15DDF"/>
    <w:rsid w:val="00E31A45"/>
    <w:rsid w:val="00EA4CD6"/>
    <w:rsid w:val="00EE4AFC"/>
    <w:rsid w:val="00EE5752"/>
    <w:rsid w:val="00EF3F7E"/>
    <w:rsid w:val="00F22E82"/>
    <w:rsid w:val="00F36372"/>
    <w:rsid w:val="00F80415"/>
    <w:rsid w:val="00F9050F"/>
    <w:rsid w:val="00FC0FB5"/>
    <w:rsid w:val="00FE4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68FA0"/>
  <w15:chartTrackingRefBased/>
  <w15:docId w15:val="{88287144-F372-4073-8FCA-677192574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7F1E"/>
    <w:pPr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ain0">
    <w:name w:val="main0"/>
    <w:basedOn w:val="a"/>
    <w:rsid w:val="00A00369"/>
    <w:pPr>
      <w:spacing w:after="160"/>
    </w:pPr>
    <w:rPr>
      <w:rFonts w:ascii="Arial" w:eastAsia="Arial" w:hAnsi="Arial" w:cs="Arial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C667E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667E9"/>
    <w:rPr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772382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772382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772382"/>
    <w:rPr>
      <w:rFonts w:ascii="Calibri" w:hAnsi="Calibri" w:cs="Calibri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772382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772382"/>
    <w:rPr>
      <w:rFonts w:ascii="Calibri" w:hAnsi="Calibri" w:cs="Calibri"/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77238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72382"/>
    <w:rPr>
      <w:rFonts w:ascii="Segoe UI" w:hAnsi="Segoe UI" w:cs="Segoe UI"/>
      <w:sz w:val="18"/>
      <w:szCs w:val="18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07D05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507D0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726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ochta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418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Назарова Ольга Николаевна</dc:creator>
  <cp:keywords/>
  <dc:description/>
  <cp:lastModifiedBy>Пресайзен Лидия Дмитриевна</cp:lastModifiedBy>
  <cp:revision>2</cp:revision>
  <dcterms:created xsi:type="dcterms:W3CDTF">2026-05-26T11:21:00Z</dcterms:created>
  <dcterms:modified xsi:type="dcterms:W3CDTF">2026-05-26T11:21:00Z</dcterms:modified>
</cp:coreProperties>
</file>