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5501" w14:textId="77777777" w:rsidR="00BB480E" w:rsidRDefault="00BB480E" w:rsidP="00BB480E">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494-ФЗ "О внесении изменений в отдельные законодательные акты Российской Федерации"</w:t>
      </w:r>
    </w:p>
    <w:p w14:paraId="1B15F36A" w14:textId="77777777" w:rsidR="00BB480E" w:rsidRDefault="00BB480E" w:rsidP="00BB480E">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 </w:t>
      </w:r>
    </w:p>
    <w:p w14:paraId="3427DA4A"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Наличие коррупциогенных факторов может явиться основанием для отказа в государственной регистрации устава муниципального образования</w:t>
      </w:r>
    </w:p>
    <w:p w14:paraId="77EE05DF"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Внесены поправки, в частности, в Федеральные законы "Об общих принципах организации местного самоуправления в Российской Федерации", "О государственной регистрации уставов муниципальных образований" в части, касающейся, в том числе, порядка регистрации уставов муниципальных образований.</w:t>
      </w:r>
    </w:p>
    <w:p w14:paraId="016436AC"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Уточнено, что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РФ, федеральных законов, конституции (устава) или законов субъекта РФ в целях приведения данного устава в соответствие с этими нормативными правовыми актами.</w:t>
      </w:r>
    </w:p>
    <w:p w14:paraId="7C92254B"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Предусмотрена возможность обжалования решений об отказе в государственной регистрации или нарушения сроков государственной регистрации уставов муниципальных образований (муниципальных правовых актов о внесении изменений в устав муниципального образования) не только в суд, но и в Минюст России.</w:t>
      </w:r>
    </w:p>
    <w:p w14:paraId="0DADB306"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В случае утраты подлинника устава муниципального образования, подлинника муниципального правового акта о внесении изменений в устав муниципального образования регистрирующий орган по заявлению главы муниципального образования в течение 30 дней со дня поступления такого заявления выдает заверенную копию устава муниципального образования, заверенную копию муниципального правового акта о внесении изменений в устав муниципального образования.</w:t>
      </w:r>
    </w:p>
    <w:p w14:paraId="5BB9A719"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Также, предусмотрено, что в случае досрочного прекращения </w:t>
      </w:r>
      <w:r>
        <w:rPr>
          <w:rFonts w:ascii="Roboto" w:hAnsi="Roboto"/>
          <w:color w:val="000000"/>
          <w:sz w:val="27"/>
          <w:szCs w:val="27"/>
        </w:rPr>
        <w:lastRenderedPageBreak/>
        <w:t>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w:t>
      </w:r>
    </w:p>
    <w:p w14:paraId="7C4C5394"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Кроме того, в Федеральном законе "О введении в действие Градостроительного кодекса Российской Федерации" предусмотрено, что передача Российской Федерацией органам государственной власти города Москвы полномочий по организации и проведению государственной экспертизы проектной документации метрополитена и уникальных объектов капитального строительства, реконструкцию которых предполагается осуществлять на территории города Москвы, и государственной экспертизы результатов инженерных изысканий, выполняемых для подготовки проектной документации таких объектов, осуществляется без ограничения срока (ранее - до 1 января 2017 года).</w:t>
      </w:r>
    </w:p>
    <w:p w14:paraId="172F4B61"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0C6B9066" w14:textId="77777777" w:rsidR="00BB480E" w:rsidRDefault="00BB480E" w:rsidP="00BB480E">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501-ФЗ "О внесении изменений в статью 11 Федерального закона "Об общих принципах организации местного самоуправления в Российской Федерации"</w:t>
      </w:r>
    </w:p>
    <w:p w14:paraId="158F4976"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3501F462"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Уточнен порядок пересмотра перечней субъектов РФ, территории которых относятся к территориям с низкой либо высокой плотностью сельского населения</w:t>
      </w:r>
    </w:p>
    <w:p w14:paraId="27091624"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В соответствии с частями 3 и 4 статьи 11 Федерального закона "Об общих принципах организации местного самоуправления в Российской Федерации" перечни субъектов РФ, отдельных муниципальных районов в субъектах РФ, территории которых относятся к территориям с низкой либо высокой плотностью сельского населения, утверждаются Правительством РФ и не могут изменяться чаще одного раза в пять лет.</w:t>
      </w:r>
    </w:p>
    <w:p w14:paraId="22A321F2"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Согласно внесенным изменениям установленные сроки действия ограничений на изменение указанных перечней (не чаще одного раза в пять лет) не применяются в случае отнесения территории нового субъекта РФ, образованного в составе Российской Федерации, отдельных муниципальных районов в таком субъекте РФ к территориям с низкой плотностью сельского населения или территориям с высокой плотностью сельского населения.</w:t>
      </w:r>
    </w:p>
    <w:p w14:paraId="675A0399"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0348F7C0" w14:textId="77777777" w:rsidR="00BB480E" w:rsidRDefault="00BB480E" w:rsidP="00BB480E">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 xml:space="preserve">Федеральный закон от 28.12.2016 N 465-ФЗ "О внесении изменений в отдельные законодательные акты Российской Федерации в части </w:t>
      </w:r>
      <w:r>
        <w:rPr>
          <w:rStyle w:val="a5"/>
          <w:rFonts w:ascii="Roboto" w:hAnsi="Roboto"/>
          <w:color w:val="000000"/>
          <w:sz w:val="27"/>
          <w:szCs w:val="27"/>
        </w:rPr>
        <w:lastRenderedPageBreak/>
        <w:t>совершенствования государственного регулирования организации отдыха и оздоровления детей"</w:t>
      </w:r>
      <w:r>
        <w:rPr>
          <w:rFonts w:ascii="Roboto" w:hAnsi="Roboto"/>
          <w:color w:val="000000"/>
          <w:sz w:val="27"/>
          <w:szCs w:val="27"/>
        </w:rPr>
        <w:t> </w:t>
      </w:r>
    </w:p>
    <w:p w14:paraId="21553B32"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Конкретизированы полномочия органов власти по обеспечению качества и безопасности отдыха и оздоровления детей</w:t>
      </w:r>
    </w:p>
    <w:p w14:paraId="5DCCBAB7"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Законом вносятся изменения в ряд федеральных законов.</w:t>
      </w:r>
    </w:p>
    <w:p w14:paraId="1223EF40"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В частности, устанавливается обязанность: органов исполнительной власти субъектов РФ и органов местного самоуправления в пределах своих полномочий принимать меры, в том числе по созданию безопасных условий пребывания детей в организациях отдыха и оздоровления, обеспечению максимальной доступности услуг таких организаций, а также по контролю за соблюдением требований законодательства в указанной сфере;</w:t>
      </w:r>
    </w:p>
    <w:p w14:paraId="079E2BE4"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туроператоров, турагентов, организаций, осуществляющих экскурсионное обслуживание, соблюдать установленные требования к туристским маршрутам и порядку организации их прохождения несовершеннолетними туристами, а также уведомлять уполномоченные органы госвласти о месте, сроках и длительности прохождения таких маршрутов.</w:t>
      </w:r>
    </w:p>
    <w:p w14:paraId="5A0681CC"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46AE6340" w14:textId="77777777" w:rsidR="00BB480E" w:rsidRDefault="00BB480E" w:rsidP="00BB480E">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470-ФЗ "О внесении изменений в статью 10 Федерального закона "О дополнительных мерах государственной поддержки семей, имеющих детей"</w:t>
      </w:r>
      <w:r>
        <w:rPr>
          <w:rFonts w:ascii="Roboto" w:hAnsi="Roboto"/>
          <w:color w:val="000000"/>
          <w:sz w:val="27"/>
          <w:szCs w:val="27"/>
        </w:rPr>
        <w:t> </w:t>
      </w:r>
    </w:p>
    <w:p w14:paraId="2B22568F"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Закон о дополнительных мерах государственной поддержки семей, имеющих детей, приведен в соответствие с действующим законодательством</w:t>
      </w:r>
    </w:p>
    <w:p w14:paraId="5F5F6A4A"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С 1 января 2017 года вступает в силу Федеральный закон от 13.07.2015 N 218-ФЗ "О государственной регистрации недвижимости", в соответствии с которым свидетельство о праве собственности выдаваться не будет. Регистрация возникновения и перехода прав будет подтверждаться выпиской из Единого государственного реестра недвижимости о правах.</w:t>
      </w:r>
    </w:p>
    <w:p w14:paraId="6A7D7784"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Соответствующая замена внесена в текст Закона о дополнительных мерах государственной поддержки семей, имеющих детей.</w:t>
      </w:r>
    </w:p>
    <w:p w14:paraId="6A5EEC9A"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56A7AE21" w14:textId="77777777" w:rsidR="00BB480E" w:rsidRDefault="00BB480E" w:rsidP="00BB480E">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471-ФЗ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p w14:paraId="79D00E30"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Установлена административная ответственность за нарушение обязанностей, предусмотренных законодательством в области электронной подписи</w:t>
      </w:r>
    </w:p>
    <w:p w14:paraId="3DBD3E59"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Так, в частности, нарушение аккредитованным удостоверяющим центром порядка выдачи квалифицированного сертификата ключа проверки электронной подписи повлечет наложение штрафа на юридических лиц в размере от десяти тысяч до тридцати тысяч рублей. Выдача аккредитованным удостоверяющим центром квалифицированного сертификата, содержащего заведомо недостоверную информацию о его владельце, повлечет наложение штрафа на юридических лиц в размере от двухсот тысяч до двухсот пятидесяти тысяч рублей.</w:t>
      </w:r>
    </w:p>
    <w:p w14:paraId="200DC05D"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Кроме того, изменения вносятся в том числе в Федеральные законы "О противодействии легализации (отмыванию) доходов, полученных преступным путем, и финансированию терроризма", "О государственной регистрации юридических лиц и индивидуальных предпринимателей", "Об организации предоставления государственных и муниципальных услуг", "Об обязательном медицинском страховании в Российской Федерации", "О государственном оборонном заказе", "Об охране здоровья граждан от воздействия окружающего табачного дыма и последствий потребления табака" и некоторые другие.</w:t>
      </w:r>
    </w:p>
    <w:p w14:paraId="4A997611"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В частности:установлены особенности применения отдельных положений Федерального закона "О государственном оборонном заказе";</w:t>
      </w:r>
    </w:p>
    <w:p w14:paraId="7C53528C"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уточнены сведения, подлежащие обязательному внесению в Единый федеральный реестр сведений о фактах деятельности юридических лиц;</w:t>
      </w:r>
    </w:p>
    <w:p w14:paraId="2392C60A"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уточнены органы, по запросу которых юридическое лицо обязано представлять информацию о своих бенефициарных владельцах;</w:t>
      </w:r>
    </w:p>
    <w:p w14:paraId="50C426CD"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исключены положения, регламентирующие порядок организации деятельности по выпуску, выдаче и обслуживанию универсальных электронных карт при предоставлении государственных и муниципальных услуг.</w:t>
      </w:r>
    </w:p>
    <w:p w14:paraId="10117705"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Федеральный закон вступает в силу со дня его официального опубликования, за исключением отдельных положений, вступающих в силу с 1 января 2017 года.</w:t>
      </w:r>
    </w:p>
    <w:p w14:paraId="090FA78D"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389B908F" w14:textId="77777777" w:rsidR="00BB480E" w:rsidRDefault="00BB480E" w:rsidP="00BB480E">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474-ФЗ "О внесении изменений в отдельные законодательные акты Российской Федерации"</w:t>
      </w:r>
    </w:p>
    <w:p w14:paraId="43058A9A"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            Расширены возможности участия отдельных юридических лиц в закупках товаров, работ, услуг</w:t>
      </w:r>
    </w:p>
    <w:p w14:paraId="46A308D1"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Речь идет о федеральных государственных унитарных предприятиях, имеющих существенное значение для обеспечения прав и законных интересов граждан РФ, обороноспособности и безопасности государства, перечень которых утверждается Правительством РФ по согласованию с Администрацией Президента РФ. Данные предприятия включены в сферу действия Федерального закона от 18.07.2011 N 223-ФЗ "О закупках товаров, работ, услуг отдельными видами юридических лиц".</w:t>
      </w:r>
    </w:p>
    <w:p w14:paraId="77960FB7"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Одновременно, заключение данными предприятиями гражданско-правовых договоров, предметом которых являются поставка товара, выполнение работы, оказание услуги, исключено из сферы действия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52E5DEDC"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Кроме того, установлено, что Федеральный закон N 44-ФЗ не применяется к отношениям, связанным с закупкой товаров, работ, услуг ЦИК России, избирательными комиссиями субъектов РФ,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14:paraId="57A36FAB"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Также уточнено, что закупка бюллетеней, открепительных удостоверений, специальных знаков (марок), информационных материалов,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ЦИК России или по ее решению соответствующими нижестоящими избирательными комиссиями в соответствии с ГК РФ (ранее - у единственных поставщиков (подрядчиков, исполнителей) в соответствии с Федеральным законом N 44-ФЗ).</w:t>
      </w:r>
    </w:p>
    <w:p w14:paraId="33FFD37B"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Федеральный закон вступает в силу с 1 января 2017 года.</w:t>
      </w:r>
    </w:p>
    <w:p w14:paraId="7860DFC9"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37761483" w14:textId="77777777" w:rsidR="00BB480E" w:rsidRDefault="00BB480E" w:rsidP="00BB480E">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478-ФЗ "О внесении изменений в Федеральный закон "О государственной поддержке молодежных и детских общественных объединений"</w:t>
      </w:r>
    </w:p>
    <w:p w14:paraId="47FDAE0C"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В Федеральный закон "О государственной поддержке молодежных и детских общественных объединений" внесены изменения редакционного характера</w:t>
      </w:r>
    </w:p>
    <w:p w14:paraId="6A0ACEA2"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Терминология Федерального закона "О государственной поддержке молодежных и детских общественных объединений" приводится в соответствие с Федеральным законом от 07.05.2013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p w14:paraId="3BA6199C"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В частности, понятие "федеральный орган исполнительной власти по реализации государственной молодежной политики" заменяется на "федеральный орган исполнительной власти, осуществляющий функции по оказанию государственных услуг и управлению государственным имуществом в сфере государственной молодежной политики", а термин "федеральные программы в области государственной молодежной политики" заменяется на "государственные программы Российской Федерации, включающие мероприятия в сфере молодежной политики".</w:t>
      </w:r>
    </w:p>
    <w:p w14:paraId="6E3139B4"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717FABE5" w14:textId="77777777" w:rsidR="00BB480E" w:rsidRDefault="00BB480E" w:rsidP="00BB480E">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485-ФЗ "О признании утратившими силу отдельных положений законодательных актов Российской Федерации"</w:t>
      </w:r>
    </w:p>
    <w:p w14:paraId="49F2539F"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Исключается противоречие между положениями Федеральных законов "О мобилизационной подготовке и мобилизации в Российской Федерации" и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07ED619"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Пунктом 3 статьи 26.6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 перечень полномочий органов государственной власти субъектов Российской Федерации, осуществляемых органами государственной власти края, области на всей территории края, области, включая территорию автономного округа. Вопросы мобилизационной подготовки и мобилизации в данный перечень не включены.</w:t>
      </w:r>
    </w:p>
    <w:p w14:paraId="4CE86708"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В связи с указанным, из текста Федерального закона от 26.02.1997 N 31-ФЗ "О мобилизационной подготовке и мобилизации в Российской Федерации" исключается положение, согласно которому в краях, областях, в состав которых входят автономные округа, полномочия органов исполнительной власти субъекта РФ, в сфере мобилизационной подготовки и мобилизации, осуществляются органами исполнительной власти края, области на всей территории края, области, включая территорию автономного округа, если иное не установлено федеральным законом.</w:t>
      </w:r>
    </w:p>
    <w:p w14:paraId="0AC571C1"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 </w:t>
      </w:r>
    </w:p>
    <w:p w14:paraId="53A9B667"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30C77D96" w14:textId="77777777" w:rsidR="00BB480E" w:rsidRDefault="00BB480E" w:rsidP="00BB480E">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489-ФЗ "О внесении изменений в статью 31 Федерального закона "О контрактной системе в сфере закупок товаров, работ, услуг для обеспечения государственных и муниципальных нужд"</w:t>
      </w:r>
    </w:p>
    <w:p w14:paraId="7029BA1B"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Расширен перечень обязательных требований к участникам закупки</w:t>
      </w:r>
    </w:p>
    <w:p w14:paraId="0BD59D1E"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Статьей 31 Федерального закона "О контрактной системе в сфере закупок товаров, работ, услуг для обеспечения государственных и муниципальных нужд" установлены единые требования к участникам закупок.</w:t>
      </w:r>
    </w:p>
    <w:p w14:paraId="1CF92C64"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Одним из таких требований является отсутствие у участника закупки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28BD6A"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Внесенными изменениями в качестве требований, предъявляемых к участнику закупки, устанавливается отсутствие у участника закупки судимости не только за преступления в сфере экономики, но и за преступления, предусмотренные статьями 289 "Незаконное участие в предпринимательской деятельности", 290 "Получение взятки", 291 "Дача взятки" и 291.1 "Посредничество во взяточничестве" Уголовного кодекса РФ. На участников закупок, у которых такая судимость погашена или снята, указанные ограничения распространяться не будут.</w:t>
      </w:r>
    </w:p>
    <w:p w14:paraId="1BF7511E"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Кроме того, в перечень обязательных требований включено требование о непривлечении участника закупки (юридического лица) к административной ответственности за совершение административного правонарушения, предусмотренного статьей 19.28 "Незаконное вознаграждение от имени юридического лица" КоАП РФ.</w:t>
      </w:r>
    </w:p>
    <w:p w14:paraId="79EFBBEB"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7D092645" w14:textId="77777777" w:rsidR="00BB480E" w:rsidRDefault="00BB480E" w:rsidP="00BB480E">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490-ФЗ    "О внесении изменений в Кодекс Российской Федерации об административных правонарушениях"</w:t>
      </w:r>
    </w:p>
    <w:p w14:paraId="630E27AA"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            Усилена административная ответственность за нарушение иностранным гражданином или лицом без гражданства правил въезда в РФ либо режима пребывания и проживания в РФ</w:t>
      </w:r>
    </w:p>
    <w:p w14:paraId="311495AD"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Так, нарушение иностранным гражданином или лицом без гражданства режима пребывания (проживания) в РФ, выразившееся в отсутствии документов, подтверждающих право на пребывание (проживание) в РФ, или в случае утраты таких документов в неподаче заявления об их утрате в соответствующий орган либо в уклонении от выезда из РФ по истечении определенного срока пребывания (если эти действия не содержат признаков уголовно наказуемого деяния), в городе федерального значения Москве или Санкт-Петербурге либо в Московской или Ленинградской области, совершенные повторно, повлечет наложение штрафа в размере от 7 тысяч до 10 тысяч рублей с административным выдворением за пределы РФ.</w:t>
      </w:r>
    </w:p>
    <w:p w14:paraId="7DBEDD6B"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1E414E54" w14:textId="77777777" w:rsidR="00BB480E" w:rsidRDefault="00BB480E" w:rsidP="00BB480E">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502-ФЗ "О внесении изменений в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14:paraId="4A66BB1D"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Территории, в границах которых земельные участки не могут предоставляться в безвозмездное пользование, устанавливаются законом субъекта РФ</w:t>
      </w:r>
    </w:p>
    <w:p w14:paraId="62253621"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Согласно действующей редакции Федерального закона право определить территории, в границах которых земельные участки не могут быть предоставлены в безвозмездное пользование, предоставлено высшим исполнительным органам государственной власти дальневосточных субъектов РФ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 соответствии с новой редакцией Федерального закона по указанному вопросу должен приниматься закон субъекта РФ, при этом законодательная инициатива по этому вопросу исходит от высшего должностного лица субъекта РФ (руководителя высшего исполнительного органа государственной власти субъекта РФ), также сохраняется процедура согласования с уполномоченным федеральным органом исполнительной власти.</w:t>
      </w:r>
    </w:p>
    <w:p w14:paraId="489A6DB9"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xml:space="preserve">Кроме того, Федеральным законом: функции по предоставлению земельных участков, не относящихся к землям лесного фонда </w:t>
      </w:r>
      <w:r>
        <w:rPr>
          <w:rFonts w:ascii="Roboto" w:hAnsi="Roboto"/>
          <w:color w:val="000000"/>
          <w:sz w:val="27"/>
          <w:szCs w:val="27"/>
        </w:rPr>
        <w:lastRenderedPageBreak/>
        <w:t>закрепляются за органами государственной власти или органом местного самоуправления только муниципального района и городского округа, уполномоченными на предоставление земельных участков в соответствии с земельным законодательством, а функции по предоставлению земельных участков из состава земель лесного фонда - за органом государственной власти, уполномоченным на предоставление земельных участков в соответствии с лесным законодательством;</w:t>
      </w:r>
    </w:p>
    <w:p w14:paraId="677034F6"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установлена обязанность уполномоченного органа направлять межведомственные запросы с использованием межведомственного взаимодействия в целях проверки наличия или отсутствия оснований для отказа в предоставлении земельного участка;</w:t>
      </w:r>
    </w:p>
    <w:p w14:paraId="56ACAAA4"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Росреестру разрешено возлагать некоторые закрепленные за ним функции на подведомственное ему ФГБУ "ФКП Росреестра";</w:t>
      </w:r>
    </w:p>
    <w:p w14:paraId="391B3749"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в ряде случаев гражданам разрешено предоставлять земельные участки, предоставленные гражданину до дня вступления в силу Земельного кодекса РФ,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14:paraId="6424BFF6"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устанавливается механизм изъятия земельного участка, предоставленного гражданину, в случае прекращения гражданства РФ;</w:t>
      </w:r>
    </w:p>
    <w:p w14:paraId="70E53567"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До принятия субъектом РФ закона, определяющего территории, в границах которых земельные участки не могут быть предоставлены в безвозмездное пользование, сохраняются ограничения в части предоставления земельных участков в безвозмездное пользование, расположенных в границах территорий, определенных высшим исполнительным органом государственной власти такого субъекта РФ.</w:t>
      </w:r>
    </w:p>
    <w:p w14:paraId="243EA5FC"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Федеральный закон вступает в силу со дня его официального опубликования.</w:t>
      </w:r>
    </w:p>
    <w:p w14:paraId="127267E0"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4A07C01C" w14:textId="77777777" w:rsidR="00BB480E" w:rsidRDefault="00BB480E" w:rsidP="00BB480E">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Федеральный закон от 28.12.2016 N 506-ФЗ "О внесении изменений в статьи 23.82 и 28.3 Кодекса Российской Федерации об административных правонарушениях"</w:t>
      </w:r>
      <w:r>
        <w:rPr>
          <w:rFonts w:ascii="Roboto" w:hAnsi="Roboto"/>
          <w:color w:val="000000"/>
          <w:sz w:val="27"/>
          <w:szCs w:val="27"/>
        </w:rPr>
        <w:t> </w:t>
      </w:r>
    </w:p>
    <w:p w14:paraId="2661D3CE"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Уточнены полномочия ФАС России по составлению протоколов и рассмотрению дел об административных правонарушениях</w:t>
      </w:r>
    </w:p>
    <w:p w14:paraId="12075351"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Поправки связаны с передачей ФАС России полномочий упраздненной Федеральной службы по оборонному заказу по осуществлению контроля (надзора) в сфере государственного оборонного заказа.</w:t>
      </w:r>
    </w:p>
    <w:p w14:paraId="3E13F6DC"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lastRenderedPageBreak/>
        <w:t>Ранее закрепленные за Рособоронзаказом функции по контролю за соблюдением требований технических регламентов и иных обязательных требований, установленных законодательством о техническом регулировании, к продукции (работам, услугам), поставляемой по государственному оборонному заказу, не были переданы в ФАС России.</w:t>
      </w:r>
    </w:p>
    <w:p w14:paraId="1EF224C0"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В связи с отсутствием полномочий ФАС России по контролю за соблюдением требований технических регламентов и иных обязательных требований, установленных законодательством о техническом регулировании, составление протоколов по делам об административных правонарушениях, ответственность за которые предусмотрена частью 3 статьи 14.43, частью 15 статьи 19.5, статьей 19.33 КоАП РФ, исключено из полномочий должностных лиц ФАС России.</w:t>
      </w:r>
    </w:p>
    <w:p w14:paraId="4A789086"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Ввиду того, что ФАС России не является органом, уполномоченным рассматривать дела об административных правонарушениях, ответственность за которые предусмотрена частями 1 и 2 статьи 14.43 ("Нарушение изготовителем, исполнителем (лицом, выполняющим функции иностранного изготовителя), продавцом требований технических регламентов"), статьей 14.44 ("Недостоверное декларирование соответствия продукции") КоАП РФ, соответствующие положения также исключены из полномочий ФАС России.</w:t>
      </w:r>
    </w:p>
    <w:p w14:paraId="0E4D360E" w14:textId="77777777" w:rsidR="00BB480E" w:rsidRDefault="00BB480E" w:rsidP="00BB480E">
      <w:pPr>
        <w:pStyle w:val="a3"/>
        <w:spacing w:before="0" w:beforeAutospacing="0" w:after="150" w:afterAutospacing="0"/>
        <w:rPr>
          <w:rFonts w:ascii="Roboto" w:hAnsi="Roboto"/>
          <w:color w:val="000000"/>
          <w:sz w:val="27"/>
          <w:szCs w:val="27"/>
        </w:rPr>
      </w:pPr>
    </w:p>
    <w:p w14:paraId="431F749A" w14:textId="77777777" w:rsidR="00BB480E" w:rsidRDefault="00BB480E" w:rsidP="00BB480E">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Постановлением Правительства Российской Федерации от 29.12.2016 N 1538 "О внесении изменений в государственную программу Российской Федерации "Экономическое развитие и инновационная экономика" установлен порядок предоставления субсидий на поддержку субъектов малого и среднего предпринимательства, а также на реализацию мероприятий по поддержке молодежного предпринимательства.</w:t>
      </w:r>
    </w:p>
    <w:p w14:paraId="28C916A8"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Утверждены Правила, определяющие цели, порядок и условия предоставления и распределения в 2017 - 2019 годах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РФ "Экономическое развитие и инновационная экономика".</w:t>
      </w:r>
    </w:p>
    <w:p w14:paraId="4576F549"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xml:space="preserve">Субсидии предоставляются в целях софинансирования исполнения расходных обязательств, возникающих при выполнении органами государственной власти субъектов РФ и органами местного самоуправления полномочий по поддержке малого и среднего </w:t>
      </w:r>
      <w:r>
        <w:rPr>
          <w:rFonts w:ascii="Roboto" w:hAnsi="Roboto"/>
          <w:color w:val="000000"/>
          <w:sz w:val="27"/>
          <w:szCs w:val="27"/>
        </w:rPr>
        <w:lastRenderedPageBreak/>
        <w:t>предпринимательства, осуществляемых в целях обеспечения благоприятных условий для развития субъектов МСП, повышения их конкурентоспособности, увеличения количества субъектов МСП, обеспечения занятости населения и увеличения производимых субъектами МСП товаров (работ, услуг) и предусматривающих следующие направления:</w:t>
      </w:r>
    </w:p>
    <w:p w14:paraId="7FACCB94"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оказание финансовой поддержки субъектам МСП и организациям, образующим инфраструктуру поддержки субъектов МСП;</w:t>
      </w:r>
    </w:p>
    <w:p w14:paraId="230AF9B5"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предоставление субсидий на софинансирование капитальных вложений в объекты государственной собственности субъектов РФ или муниципальной собственности;</w:t>
      </w:r>
    </w:p>
    <w:p w14:paraId="771A61DA"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содействие развитию молодежного предпринимательства;</w:t>
      </w:r>
    </w:p>
    <w:p w14:paraId="4A28E4E0"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организация предоставления услуг по принципу "одного окна" в целях оказания поддержки субъектам МСП.</w:t>
      </w:r>
    </w:p>
    <w:p w14:paraId="1DE148CF"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66B2E219" w14:textId="77777777" w:rsidR="00BB480E" w:rsidRDefault="00BB480E" w:rsidP="00BB480E">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Постановлением Правительства Российской Федерации от 30.12.2016 N 1563 "О внесении изменений в приложения N 1 и 2 к постановлению Правительства Российской Федерации от 25 июля 2006 г. N 458" в новой редакции изложены перечень видов продукции, относимой к сельскохозяйственной продукции, и перечень продукции, относимой к продукции первичной переработки, произведенной из сельскохозяйственного сырья собственного производства.</w:t>
      </w:r>
    </w:p>
    <w:p w14:paraId="7798BC0F"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Согласно постановлению Правительства РФ от 25.07.2006 N 458 к продукции первичной переработки, произведенной из сельскохозяйственного сырья собственного производства, относится сельскохозяйственная продукция (продукция растениеводства сельского и лесного хозяйства, уловы водных биологических ресурсов, рыбная и иная продукция из водных биологических ресурсов, которые указаны в пункте 3 статьи 346.2 части второй Налогового кодекса РФ) и продукция животноводства (в том числе полученная в результате выращивания и доращивания рыб и других водных биологических ресурсов), прошедшая технологические операции переработки для сохранения ее качества и обеспечения длительного хранения, используемая в виде сырья в последующей (промышленной) переработке продукции или реализуемая без последующей промышленной переработки потребителям.</w:t>
      </w:r>
    </w:p>
    <w:p w14:paraId="397389A1"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2073BAD5"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12D352F3" w14:textId="77777777" w:rsidR="00BB480E" w:rsidRDefault="00BB480E" w:rsidP="00BB480E">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 xml:space="preserve">Постановлением Правительства Российской Федерации от 31.12.2016 N 1588 "О внесении изменения в постановление Правительства </w:t>
      </w:r>
      <w:r>
        <w:rPr>
          <w:rStyle w:val="a5"/>
          <w:rFonts w:ascii="Roboto" w:hAnsi="Roboto"/>
          <w:color w:val="000000"/>
          <w:sz w:val="27"/>
          <w:szCs w:val="27"/>
        </w:rPr>
        <w:lastRenderedPageBreak/>
        <w:t>Российской Федерации от 23 января 2015 г. N 36"</w:t>
      </w:r>
      <w:r>
        <w:rPr>
          <w:rFonts w:ascii="Roboto" w:hAnsi="Roboto"/>
          <w:color w:val="000000"/>
          <w:sz w:val="27"/>
          <w:szCs w:val="27"/>
        </w:rPr>
        <w:t> установлено, что возможность подачи заявок на участие в определении поставщика (подрядчика, исполнителя), окончательных предложений в форме электронного документа через ЕИС должна быть обеспечена не позднее 1 января 2018 года</w:t>
      </w:r>
    </w:p>
    <w:p w14:paraId="5021F863"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Федеральным законом от 5 апреля 2013 г. N 44-ФЗ допускается обмен электронными документами между участниками контрактной системы в сфере закупок.</w:t>
      </w:r>
    </w:p>
    <w:p w14:paraId="4242CC13"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Согласно поправкам в пункт 2 постановления Правительства РФ от 23 января 2015 г. N 36 возможность подачи через ЕИС заявок на участие в определении поставщика (подрядчика, исполнителя) и окончательных предложений должна быть обеспечена Федеральным казначейством годом позже, чем это было предусмотрено ранее, т.е. не позднее 1 января 2018 года.</w:t>
      </w:r>
    </w:p>
    <w:p w14:paraId="179BD424"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50261762"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605BEE2E" w14:textId="77777777" w:rsidR="00BB480E" w:rsidRDefault="00BB480E" w:rsidP="00BB480E">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Постановлением Правительства Российской Федерации от 23.12.2016 N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r>
        <w:rPr>
          <w:rFonts w:ascii="Roboto" w:hAnsi="Roboto"/>
          <w:color w:val="000000"/>
          <w:sz w:val="27"/>
          <w:szCs w:val="27"/>
        </w:rPr>
        <w:t> определена совокупность мероприятий по обеспечению антитеррористической защищенности объектов водоснабжения и водоотведения и порядок разработки паспорта безопасности таких объектов.</w:t>
      </w:r>
    </w:p>
    <w:p w14:paraId="41CD43E9"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Требованиями устанавливается, в частности:</w:t>
      </w:r>
    </w:p>
    <w:p w14:paraId="7AB31C61"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перечень объектов водоснабжения и водоотведения, на которые не распространяется действие требований;</w:t>
      </w:r>
    </w:p>
    <w:p w14:paraId="4454B42B"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порядок категорирования объектов водоснабжения и водоотведения;</w:t>
      </w:r>
    </w:p>
    <w:p w14:paraId="0090A413"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перечень применяемых мер по обеспечению антитеррористической защищенности объектов водоснабжения и водоотведения;</w:t>
      </w:r>
    </w:p>
    <w:p w14:paraId="47F32732"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порядок информирования об угрозе совершения или о совершении террористических актов на объектах водоснабжения и водоотведения и реагирования на полученную информацию;</w:t>
      </w:r>
    </w:p>
    <w:p w14:paraId="56338F24"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порядок осуществления контроля за выполнением требований антитеррористической защищенности объектов водоснабжения и водоотведения.</w:t>
      </w:r>
    </w:p>
    <w:p w14:paraId="1307458D"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xml:space="preserve">Кроме того, Постановлением установлена форма паспорта безопасности объекта водоснабжения и водоотведения. В нем </w:t>
      </w:r>
      <w:r>
        <w:rPr>
          <w:rFonts w:ascii="Roboto" w:hAnsi="Roboto"/>
          <w:color w:val="000000"/>
          <w:sz w:val="27"/>
          <w:szCs w:val="27"/>
        </w:rPr>
        <w:lastRenderedPageBreak/>
        <w:t>содержится, в частности, следующая информация: общие сведения об объекте; возможные последствия совершения террористического акта на объекте; меры антитеррористической защищенности объекта; дополнительные сведения с учетом особенностей объекта водоснабжения и водоотведения. Паспорт составляется должностным лицом, осуществляющим непосредственное руководство деятельностью работников на объекте водоснабжения и водоотведения, согласовывается с территориальным органом безопасности и территориальным органом безопасности и территориальными органами Росгваридии и МЧС России по месту нахождения объекта, а также с уполномоченным органом субъекта РФ и утверждается руководителем эксплуатирующей организации, либо уполномоченным им заместителем. Паспорт имеет пометку "Для служебного пользования", если в соответствии с законодательством РФ ему не присваивается гриф секретности. Срок действия паспорта безопасности составляет 5 лет.</w:t>
      </w:r>
    </w:p>
    <w:p w14:paraId="1903F42A"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47BA9CBD"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 </w:t>
      </w:r>
    </w:p>
    <w:p w14:paraId="5D1BE250" w14:textId="77777777" w:rsidR="00BB480E" w:rsidRDefault="00BB480E" w:rsidP="00BB480E">
      <w:pPr>
        <w:pStyle w:val="a3"/>
        <w:spacing w:before="0" w:beforeAutospacing="0" w:after="150" w:afterAutospacing="0"/>
        <w:rPr>
          <w:rFonts w:ascii="Roboto" w:hAnsi="Roboto"/>
          <w:color w:val="000000"/>
          <w:sz w:val="27"/>
          <w:szCs w:val="27"/>
        </w:rPr>
      </w:pPr>
      <w:r>
        <w:rPr>
          <w:rStyle w:val="a5"/>
          <w:rFonts w:ascii="Roboto" w:hAnsi="Roboto"/>
          <w:color w:val="000000"/>
          <w:sz w:val="27"/>
          <w:szCs w:val="27"/>
        </w:rPr>
        <w:t>Постановлением Правительства Российской Федерации от 29.12.2016 N 1545 "О внесении изменений в некоторые акты Правительства Российской Федерации"</w:t>
      </w:r>
      <w:r>
        <w:rPr>
          <w:rFonts w:ascii="Roboto" w:hAnsi="Roboto"/>
          <w:color w:val="000000"/>
          <w:sz w:val="27"/>
          <w:szCs w:val="27"/>
        </w:rPr>
        <w:t> на подразделения Росгвардии и ей подведомственные организации возложены задачи по осуществлению хранения, перевозки наркотических средств, психотропных веществ и их прекурсоров.</w:t>
      </w:r>
    </w:p>
    <w:p w14:paraId="11C6073C"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Также уточнено, что особенности перевозки наркотических средств, психотропных веществ и прекурсоров, предназначенных для обеспечения деятельности в системе федеральных органов исполнительной власти, в которых законодательством предусмотрены военная или государственная служба иных видов, а также оформления необходимых для этого документов могут устанавливаться соответствующими федеральными органами исполнительной власти по согласованию с Минтрансом России и МВД России.</w:t>
      </w:r>
    </w:p>
    <w:p w14:paraId="7510390C" w14:textId="77777777" w:rsidR="00BB480E" w:rsidRDefault="00BB480E" w:rsidP="00BB480E">
      <w:pPr>
        <w:pStyle w:val="a3"/>
        <w:spacing w:before="0" w:beforeAutospacing="0" w:after="150" w:afterAutospacing="0"/>
        <w:rPr>
          <w:rFonts w:ascii="Roboto" w:hAnsi="Roboto"/>
          <w:color w:val="000000"/>
          <w:sz w:val="27"/>
          <w:szCs w:val="27"/>
        </w:rPr>
      </w:pPr>
      <w:r>
        <w:rPr>
          <w:rFonts w:ascii="Roboto" w:hAnsi="Roboto"/>
          <w:color w:val="000000"/>
          <w:sz w:val="27"/>
          <w:szCs w:val="27"/>
        </w:rPr>
        <w:t>Требования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перечня наркотических средств, психотропных веществ и их прекурсоров, подлежащих контролю в РФ, прекурсоров, и/или культивирование наркосодержащих растений для использования в научных, учебных целях и в экспертной деятельности, устанавливаются Росгвардией совместно с МВД России.</w:t>
      </w:r>
    </w:p>
    <w:p w14:paraId="044B5409" w14:textId="3A9D565C" w:rsidR="00DE528E" w:rsidRPr="00BB480E" w:rsidRDefault="00DE528E" w:rsidP="00BB480E"/>
    <w:sectPr w:rsidR="00DE528E" w:rsidRPr="00BB4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EF"/>
    <w:rsid w:val="00165ACA"/>
    <w:rsid w:val="001F2DFA"/>
    <w:rsid w:val="001F6C4C"/>
    <w:rsid w:val="003D4E02"/>
    <w:rsid w:val="006D1013"/>
    <w:rsid w:val="00722CD1"/>
    <w:rsid w:val="007A0928"/>
    <w:rsid w:val="00823D13"/>
    <w:rsid w:val="00942333"/>
    <w:rsid w:val="00A32BC8"/>
    <w:rsid w:val="00A46BE8"/>
    <w:rsid w:val="00B83C5C"/>
    <w:rsid w:val="00BB480E"/>
    <w:rsid w:val="00BF7380"/>
    <w:rsid w:val="00CA2B1B"/>
    <w:rsid w:val="00DE528E"/>
    <w:rsid w:val="00E22DEF"/>
    <w:rsid w:val="00F9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6C77D-0484-4D5E-BEB4-FB58DF5E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2333"/>
    <w:rPr>
      <w:color w:val="0000FF"/>
      <w:u w:val="single"/>
    </w:rPr>
  </w:style>
  <w:style w:type="character" w:styleId="a5">
    <w:name w:val="Strong"/>
    <w:basedOn w:val="a0"/>
    <w:uiPriority w:val="22"/>
    <w:qFormat/>
    <w:rsid w:val="00B83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711">
      <w:bodyDiv w:val="1"/>
      <w:marLeft w:val="0"/>
      <w:marRight w:val="0"/>
      <w:marTop w:val="0"/>
      <w:marBottom w:val="0"/>
      <w:divBdr>
        <w:top w:val="none" w:sz="0" w:space="0" w:color="auto"/>
        <w:left w:val="none" w:sz="0" w:space="0" w:color="auto"/>
        <w:bottom w:val="none" w:sz="0" w:space="0" w:color="auto"/>
        <w:right w:val="none" w:sz="0" w:space="0" w:color="auto"/>
      </w:divBdr>
    </w:div>
    <w:div w:id="136344182">
      <w:bodyDiv w:val="1"/>
      <w:marLeft w:val="0"/>
      <w:marRight w:val="0"/>
      <w:marTop w:val="0"/>
      <w:marBottom w:val="0"/>
      <w:divBdr>
        <w:top w:val="none" w:sz="0" w:space="0" w:color="auto"/>
        <w:left w:val="none" w:sz="0" w:space="0" w:color="auto"/>
        <w:bottom w:val="none" w:sz="0" w:space="0" w:color="auto"/>
        <w:right w:val="none" w:sz="0" w:space="0" w:color="auto"/>
      </w:divBdr>
    </w:div>
    <w:div w:id="241722906">
      <w:bodyDiv w:val="1"/>
      <w:marLeft w:val="0"/>
      <w:marRight w:val="0"/>
      <w:marTop w:val="0"/>
      <w:marBottom w:val="0"/>
      <w:divBdr>
        <w:top w:val="none" w:sz="0" w:space="0" w:color="auto"/>
        <w:left w:val="none" w:sz="0" w:space="0" w:color="auto"/>
        <w:bottom w:val="none" w:sz="0" w:space="0" w:color="auto"/>
        <w:right w:val="none" w:sz="0" w:space="0" w:color="auto"/>
      </w:divBdr>
    </w:div>
    <w:div w:id="295835258">
      <w:bodyDiv w:val="1"/>
      <w:marLeft w:val="0"/>
      <w:marRight w:val="0"/>
      <w:marTop w:val="0"/>
      <w:marBottom w:val="0"/>
      <w:divBdr>
        <w:top w:val="none" w:sz="0" w:space="0" w:color="auto"/>
        <w:left w:val="none" w:sz="0" w:space="0" w:color="auto"/>
        <w:bottom w:val="none" w:sz="0" w:space="0" w:color="auto"/>
        <w:right w:val="none" w:sz="0" w:space="0" w:color="auto"/>
      </w:divBdr>
    </w:div>
    <w:div w:id="597562540">
      <w:bodyDiv w:val="1"/>
      <w:marLeft w:val="0"/>
      <w:marRight w:val="0"/>
      <w:marTop w:val="0"/>
      <w:marBottom w:val="0"/>
      <w:divBdr>
        <w:top w:val="none" w:sz="0" w:space="0" w:color="auto"/>
        <w:left w:val="none" w:sz="0" w:space="0" w:color="auto"/>
        <w:bottom w:val="none" w:sz="0" w:space="0" w:color="auto"/>
        <w:right w:val="none" w:sz="0" w:space="0" w:color="auto"/>
      </w:divBdr>
    </w:div>
    <w:div w:id="746461992">
      <w:bodyDiv w:val="1"/>
      <w:marLeft w:val="0"/>
      <w:marRight w:val="0"/>
      <w:marTop w:val="0"/>
      <w:marBottom w:val="0"/>
      <w:divBdr>
        <w:top w:val="none" w:sz="0" w:space="0" w:color="auto"/>
        <w:left w:val="none" w:sz="0" w:space="0" w:color="auto"/>
        <w:bottom w:val="none" w:sz="0" w:space="0" w:color="auto"/>
        <w:right w:val="none" w:sz="0" w:space="0" w:color="auto"/>
      </w:divBdr>
    </w:div>
    <w:div w:id="849753522">
      <w:bodyDiv w:val="1"/>
      <w:marLeft w:val="0"/>
      <w:marRight w:val="0"/>
      <w:marTop w:val="0"/>
      <w:marBottom w:val="0"/>
      <w:divBdr>
        <w:top w:val="none" w:sz="0" w:space="0" w:color="auto"/>
        <w:left w:val="none" w:sz="0" w:space="0" w:color="auto"/>
        <w:bottom w:val="none" w:sz="0" w:space="0" w:color="auto"/>
        <w:right w:val="none" w:sz="0" w:space="0" w:color="auto"/>
      </w:divBdr>
    </w:div>
    <w:div w:id="1049648885">
      <w:bodyDiv w:val="1"/>
      <w:marLeft w:val="0"/>
      <w:marRight w:val="0"/>
      <w:marTop w:val="0"/>
      <w:marBottom w:val="0"/>
      <w:divBdr>
        <w:top w:val="none" w:sz="0" w:space="0" w:color="auto"/>
        <w:left w:val="none" w:sz="0" w:space="0" w:color="auto"/>
        <w:bottom w:val="none" w:sz="0" w:space="0" w:color="auto"/>
        <w:right w:val="none" w:sz="0" w:space="0" w:color="auto"/>
      </w:divBdr>
    </w:div>
    <w:div w:id="1120949796">
      <w:bodyDiv w:val="1"/>
      <w:marLeft w:val="0"/>
      <w:marRight w:val="0"/>
      <w:marTop w:val="0"/>
      <w:marBottom w:val="0"/>
      <w:divBdr>
        <w:top w:val="none" w:sz="0" w:space="0" w:color="auto"/>
        <w:left w:val="none" w:sz="0" w:space="0" w:color="auto"/>
        <w:bottom w:val="none" w:sz="0" w:space="0" w:color="auto"/>
        <w:right w:val="none" w:sz="0" w:space="0" w:color="auto"/>
      </w:divBdr>
    </w:div>
    <w:div w:id="1284115687">
      <w:bodyDiv w:val="1"/>
      <w:marLeft w:val="0"/>
      <w:marRight w:val="0"/>
      <w:marTop w:val="0"/>
      <w:marBottom w:val="0"/>
      <w:divBdr>
        <w:top w:val="none" w:sz="0" w:space="0" w:color="auto"/>
        <w:left w:val="none" w:sz="0" w:space="0" w:color="auto"/>
        <w:bottom w:val="none" w:sz="0" w:space="0" w:color="auto"/>
        <w:right w:val="none" w:sz="0" w:space="0" w:color="auto"/>
      </w:divBdr>
    </w:div>
    <w:div w:id="1472019387">
      <w:bodyDiv w:val="1"/>
      <w:marLeft w:val="0"/>
      <w:marRight w:val="0"/>
      <w:marTop w:val="0"/>
      <w:marBottom w:val="0"/>
      <w:divBdr>
        <w:top w:val="none" w:sz="0" w:space="0" w:color="auto"/>
        <w:left w:val="none" w:sz="0" w:space="0" w:color="auto"/>
        <w:bottom w:val="none" w:sz="0" w:space="0" w:color="auto"/>
        <w:right w:val="none" w:sz="0" w:space="0" w:color="auto"/>
      </w:divBdr>
    </w:div>
    <w:div w:id="1538932694">
      <w:bodyDiv w:val="1"/>
      <w:marLeft w:val="0"/>
      <w:marRight w:val="0"/>
      <w:marTop w:val="0"/>
      <w:marBottom w:val="0"/>
      <w:divBdr>
        <w:top w:val="none" w:sz="0" w:space="0" w:color="auto"/>
        <w:left w:val="none" w:sz="0" w:space="0" w:color="auto"/>
        <w:bottom w:val="none" w:sz="0" w:space="0" w:color="auto"/>
        <w:right w:val="none" w:sz="0" w:space="0" w:color="auto"/>
      </w:divBdr>
    </w:div>
    <w:div w:id="1670863779">
      <w:bodyDiv w:val="1"/>
      <w:marLeft w:val="0"/>
      <w:marRight w:val="0"/>
      <w:marTop w:val="0"/>
      <w:marBottom w:val="0"/>
      <w:divBdr>
        <w:top w:val="none" w:sz="0" w:space="0" w:color="auto"/>
        <w:left w:val="none" w:sz="0" w:space="0" w:color="auto"/>
        <w:bottom w:val="none" w:sz="0" w:space="0" w:color="auto"/>
        <w:right w:val="none" w:sz="0" w:space="0" w:color="auto"/>
      </w:divBdr>
    </w:div>
    <w:div w:id="1755856139">
      <w:bodyDiv w:val="1"/>
      <w:marLeft w:val="0"/>
      <w:marRight w:val="0"/>
      <w:marTop w:val="0"/>
      <w:marBottom w:val="0"/>
      <w:divBdr>
        <w:top w:val="none" w:sz="0" w:space="0" w:color="auto"/>
        <w:left w:val="none" w:sz="0" w:space="0" w:color="auto"/>
        <w:bottom w:val="none" w:sz="0" w:space="0" w:color="auto"/>
        <w:right w:val="none" w:sz="0" w:space="0" w:color="auto"/>
      </w:divBdr>
    </w:div>
    <w:div w:id="1911651948">
      <w:bodyDiv w:val="1"/>
      <w:marLeft w:val="0"/>
      <w:marRight w:val="0"/>
      <w:marTop w:val="0"/>
      <w:marBottom w:val="0"/>
      <w:divBdr>
        <w:top w:val="none" w:sz="0" w:space="0" w:color="auto"/>
        <w:left w:val="none" w:sz="0" w:space="0" w:color="auto"/>
        <w:bottom w:val="none" w:sz="0" w:space="0" w:color="auto"/>
        <w:right w:val="none" w:sz="0" w:space="0" w:color="auto"/>
      </w:divBdr>
    </w:div>
    <w:div w:id="21344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4207</Words>
  <Characters>23981</Characters>
  <Application>Microsoft Office Word</Application>
  <DocSecurity>0</DocSecurity>
  <Lines>199</Lines>
  <Paragraphs>56</Paragraphs>
  <ScaleCrop>false</ScaleCrop>
  <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Наталья Владимировна</dc:creator>
  <cp:keywords/>
  <dc:description/>
  <cp:lastModifiedBy>Колосова Наталья Владимировна</cp:lastModifiedBy>
  <cp:revision>20</cp:revision>
  <dcterms:created xsi:type="dcterms:W3CDTF">2023-03-29T08:51:00Z</dcterms:created>
  <dcterms:modified xsi:type="dcterms:W3CDTF">2023-03-29T09:20:00Z</dcterms:modified>
</cp:coreProperties>
</file>